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6FBD" w14:textId="77777777" w:rsidR="00EC1887" w:rsidRDefault="007052B6" w:rsidP="000364EE">
      <w:pPr>
        <w:pStyle w:val="IOSHeading1"/>
        <w:tabs>
          <w:tab w:val="left" w:pos="2552"/>
        </w:tabs>
        <w:spacing w:after="360"/>
      </w:pPr>
      <w:r>
        <w:rPr>
          <w:noProof/>
          <w:lang w:bidi="lo-LA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B7D00">
        <w:t>Integration</w:t>
      </w:r>
    </w:p>
    <w:p w14:paraId="2FA1A7E3" w14:textId="77777777" w:rsidR="00530B64" w:rsidRDefault="00530B64" w:rsidP="00225495">
      <w:pPr>
        <w:pStyle w:val="IOSheading2"/>
        <w:spacing w:before="240"/>
      </w:pPr>
      <w:r>
        <w:t>Resources</w:t>
      </w:r>
    </w:p>
    <w:p w14:paraId="602735F5" w14:textId="77777777" w:rsidR="00C3514B" w:rsidRDefault="00C3514B" w:rsidP="003B7D00">
      <w:pPr>
        <w:pStyle w:val="IOSbodytext"/>
        <w:sectPr w:rsidR="00C3514B" w:rsidSect="000B476A">
          <w:footerReference w:type="default" r:id="rId9"/>
          <w:type w:val="continuous"/>
          <w:pgSz w:w="16840" w:h="11900" w:orient="landscape"/>
          <w:pgMar w:top="567" w:right="958" w:bottom="567" w:left="567" w:header="567" w:footer="567" w:gutter="0"/>
          <w:cols w:space="708"/>
          <w:docGrid w:linePitch="326"/>
        </w:sectPr>
      </w:pPr>
      <w:bookmarkStart w:id="0" w:name="_GoBack"/>
      <w:bookmarkEnd w:id="0"/>
    </w:p>
    <w:p w14:paraId="5B4DCFB5" w14:textId="12FB0684" w:rsidR="003B7D00" w:rsidRDefault="00225495" w:rsidP="00C3514B">
      <w:pPr>
        <w:pStyle w:val="IOSbodytext"/>
        <w:spacing w:after="0"/>
      </w:pPr>
      <w:hyperlink r:id="rId10" w:history="1">
        <w:r w:rsidRPr="00225495">
          <w:rPr>
            <w:rStyle w:val="Hyperlink"/>
          </w:rPr>
          <w:t>AMSI website</w:t>
        </w:r>
      </w:hyperlink>
      <w:r>
        <w:t xml:space="preserve"> –</w:t>
      </w:r>
      <w:r w:rsidR="003B7D00">
        <w:t xml:space="preserve"> Supporting Australian Mathematics Project (A guide for teachers </w:t>
      </w:r>
      <w:r>
        <w:t xml:space="preserve">of </w:t>
      </w:r>
      <w:r w:rsidR="003B7D00">
        <w:t>y</w:t>
      </w:r>
      <w:r w:rsidR="00C3514B">
        <w:t>ea</w:t>
      </w:r>
      <w:r w:rsidR="003B7D00">
        <w:t>r 11 and 12) has a good compreh</w:t>
      </w:r>
      <w:r w:rsidR="00C3514B">
        <w:t xml:space="preserve">ensive overview of Integration </w:t>
      </w:r>
      <w:r w:rsidR="00C3514B">
        <w:br w:type="column"/>
      </w:r>
      <w:hyperlink r:id="rId11" w:history="1">
        <w:r w:rsidR="003B7D00" w:rsidRPr="00225495">
          <w:rPr>
            <w:rStyle w:val="Hyperlink"/>
          </w:rPr>
          <w:t>Dynamic calculus</w:t>
        </w:r>
      </w:hyperlink>
    </w:p>
    <w:p w14:paraId="532630DD" w14:textId="360EEF02" w:rsidR="00C3514B" w:rsidRDefault="003B7D00" w:rsidP="003B7D00">
      <w:pPr>
        <w:pStyle w:val="IOSbodytext"/>
        <w:sectPr w:rsidR="00C3514B" w:rsidSect="00C3514B">
          <w:type w:val="continuous"/>
          <w:pgSz w:w="16840" w:h="11900" w:orient="landscape"/>
          <w:pgMar w:top="567" w:right="958" w:bottom="567" w:left="567" w:header="454" w:footer="227" w:gutter="0"/>
          <w:cols w:num="2" w:space="708"/>
          <w:docGrid w:linePitch="326"/>
        </w:sectPr>
      </w:pPr>
      <w:r>
        <w:t xml:space="preserve">This resource combines a collection of </w:t>
      </w:r>
      <w:proofErr w:type="spellStart"/>
      <w:r>
        <w:t>Geogebra</w:t>
      </w:r>
      <w:proofErr w:type="spellEnd"/>
      <w:r>
        <w:t xml:space="preserve"> interactive learning objects with material explaining the significance and history of calculus, includi</w:t>
      </w:r>
      <w:r w:rsidR="00C3514B">
        <w:t>ng th</w:t>
      </w:r>
      <w:r w:rsidR="00225495">
        <w:t>e 'calculus controversy'. N</w:t>
      </w:r>
      <w:r>
        <w:t>ote</w:t>
      </w:r>
      <w:r w:rsidR="00225495">
        <w:t xml:space="preserve"> –</w:t>
      </w:r>
      <w:r>
        <w:t xml:space="preserve"> needs java</w:t>
      </w:r>
      <w:r w:rsidR="00C3514B">
        <w:t>.</w:t>
      </w:r>
    </w:p>
    <w:tbl>
      <w:tblPr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ome cells in this table are blank as not all content, teaching strategies and activities, and resources are reliant on one another. "/>
      </w:tblPr>
      <w:tblGrid>
        <w:gridCol w:w="1975"/>
        <w:gridCol w:w="9607"/>
        <w:gridCol w:w="3969"/>
      </w:tblGrid>
      <w:tr w:rsidR="00C3514B" w:rsidRPr="00374FFA" w14:paraId="77459290" w14:textId="77777777" w:rsidTr="00225495">
        <w:trPr>
          <w:tblHeader/>
        </w:trPr>
        <w:tc>
          <w:tcPr>
            <w:tcW w:w="197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6D84" w14:textId="77777777" w:rsidR="00C3514B" w:rsidRPr="00D0514C" w:rsidRDefault="00C3514B" w:rsidP="00C3514B">
            <w:pPr>
              <w:pStyle w:val="IOStableheader"/>
              <w:jc w:val="center"/>
            </w:pPr>
            <w:bookmarkStart w:id="1" w:name="ColumnTitle_1"/>
            <w:r w:rsidRPr="00D0514C">
              <w:t>Content</w:t>
            </w:r>
          </w:p>
        </w:tc>
        <w:tc>
          <w:tcPr>
            <w:tcW w:w="9607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5BFD" w14:textId="77777777" w:rsidR="00C3514B" w:rsidRPr="00D0514C" w:rsidRDefault="00C3514B" w:rsidP="00C3514B">
            <w:pPr>
              <w:pStyle w:val="IOStableheader"/>
              <w:jc w:val="center"/>
            </w:pPr>
            <w:r>
              <w:t>Teaching strategies and a</w:t>
            </w:r>
            <w:r w:rsidRPr="00D0514C">
              <w:t>ctivities</w:t>
            </w:r>
          </w:p>
        </w:tc>
        <w:tc>
          <w:tcPr>
            <w:tcW w:w="3969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B646" w14:textId="77777777" w:rsidR="00C3514B" w:rsidRPr="00D0514C" w:rsidRDefault="00C3514B" w:rsidP="00C3514B">
            <w:pPr>
              <w:pStyle w:val="IOStableheader"/>
              <w:jc w:val="center"/>
            </w:pPr>
            <w:r w:rsidRPr="00D0514C">
              <w:t>Resources</w:t>
            </w:r>
          </w:p>
        </w:tc>
      </w:tr>
      <w:bookmarkEnd w:id="1"/>
      <w:tr w:rsidR="00C3514B" w:rsidRPr="00374FFA" w14:paraId="0F2354DB" w14:textId="77777777" w:rsidTr="00225495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14972C" w14:textId="77777777" w:rsidR="00C3514B" w:rsidRPr="00374FFA" w:rsidRDefault="00C3514B" w:rsidP="00C3514B">
            <w:pPr>
              <w:pStyle w:val="IOStabletext"/>
            </w:pPr>
            <w:r w:rsidRPr="00374FFA">
              <w:t xml:space="preserve"> The definite integral.</w:t>
            </w:r>
          </w:p>
        </w:tc>
        <w:tc>
          <w:tcPr>
            <w:tcW w:w="9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0355" w14:textId="4F10735D" w:rsidR="00225495" w:rsidRDefault="000B476A" w:rsidP="00615100">
            <w:pPr>
              <w:pStyle w:val="IOStabletext"/>
            </w:pPr>
            <w:hyperlink r:id="rId12" w:history="1">
              <w:r w:rsidR="00C3514B" w:rsidRPr="000B476A">
                <w:rPr>
                  <w:rStyle w:val="Hyperlink"/>
                </w:rPr>
                <w:t>Explore finding approximations of areas under the curve</w:t>
              </w:r>
            </w:hyperlink>
            <w:r w:rsidR="00C3514B" w:rsidRPr="00615100">
              <w:t xml:space="preserve"> through computer animations and applets</w:t>
            </w:r>
          </w:p>
          <w:p w14:paraId="43472A33" w14:textId="505DE65B" w:rsidR="00C3514B" w:rsidRPr="00374FFA" w:rsidRDefault="00C3514B" w:rsidP="00615100">
            <w:pPr>
              <w:pStyle w:val="IOStabletext"/>
            </w:pPr>
            <w:r w:rsidRPr="00615100">
              <w:t>Also explore the notation of Summation used to add the infinitesimally small rectangles to gain an approximation and how this notation evolved into the integral sign now used.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B282" w14:textId="58C01D32" w:rsidR="00C3514B" w:rsidRPr="00C3514B" w:rsidRDefault="000B476A" w:rsidP="00C3514B">
            <w:pPr>
              <w:pStyle w:val="IOStabletext"/>
            </w:pPr>
            <w:hyperlink r:id="rId13" w:history="1">
              <w:r w:rsidRPr="000B476A">
                <w:rPr>
                  <w:rStyle w:val="Hyperlink"/>
                </w:rPr>
                <w:t>A</w:t>
              </w:r>
              <w:r w:rsidR="00C3514B" w:rsidRPr="000B476A">
                <w:rPr>
                  <w:rStyle w:val="Hyperlink"/>
                </w:rPr>
                <w:t>nimations and tutorials on integration</w:t>
              </w:r>
            </w:hyperlink>
          </w:p>
          <w:p w14:paraId="2EAA76E8" w14:textId="551CA7A7" w:rsidR="00C3514B" w:rsidRPr="00C3514B" w:rsidRDefault="000B476A" w:rsidP="00C3514B">
            <w:pPr>
              <w:pStyle w:val="IOStabletext"/>
            </w:pPr>
            <w:hyperlink r:id="rId14" w:history="1">
              <w:proofErr w:type="spellStart"/>
              <w:r w:rsidR="00C3514B" w:rsidRPr="000B476A">
                <w:rPr>
                  <w:rStyle w:val="Hyperlink"/>
                </w:rPr>
                <w:t>Geogebra</w:t>
              </w:r>
              <w:proofErr w:type="spellEnd"/>
              <w:r w:rsidR="00C3514B" w:rsidRPr="000B476A">
                <w:rPr>
                  <w:rStyle w:val="Hyperlink"/>
                </w:rPr>
                <w:t xml:space="preserve"> File (Area under Curve)</w:t>
              </w:r>
            </w:hyperlink>
          </w:p>
          <w:p w14:paraId="2232BA57" w14:textId="2B112034" w:rsidR="00C3514B" w:rsidRPr="000B476A" w:rsidRDefault="000B476A" w:rsidP="00C3514B">
            <w:pPr>
              <w:pStyle w:val="IOStabletext"/>
            </w:pPr>
            <w:hyperlink r:id="rId15" w:history="1">
              <w:r w:rsidRPr="000B476A">
                <w:rPr>
                  <w:rStyle w:val="Hyperlink"/>
                </w:rPr>
                <w:t>YouTube t</w:t>
              </w:r>
              <w:r w:rsidR="00C3514B" w:rsidRPr="000B476A">
                <w:rPr>
                  <w:rStyle w:val="Hyperlink"/>
                </w:rPr>
                <w:t>utorial f</w:t>
              </w:r>
              <w:r w:rsidRPr="000B476A">
                <w:rPr>
                  <w:rStyle w:val="Hyperlink"/>
                </w:rPr>
                <w:t xml:space="preserve">or making your own </w:t>
              </w:r>
              <w:proofErr w:type="spellStart"/>
              <w:r w:rsidRPr="000B476A">
                <w:rPr>
                  <w:rStyle w:val="Hyperlink"/>
                </w:rPr>
                <w:t>Geogebra</w:t>
              </w:r>
              <w:proofErr w:type="spellEnd"/>
              <w:r w:rsidRPr="000B476A">
                <w:rPr>
                  <w:rStyle w:val="Hyperlink"/>
                </w:rPr>
                <w:t xml:space="preserve"> file</w:t>
              </w:r>
            </w:hyperlink>
          </w:p>
        </w:tc>
      </w:tr>
      <w:tr w:rsidR="00C3514B" w:rsidRPr="00374FFA" w14:paraId="1B375711" w14:textId="77777777" w:rsidTr="00225495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7B0057" w14:textId="77777777" w:rsidR="00C3514B" w:rsidRPr="00374FFA" w:rsidRDefault="00C3514B" w:rsidP="00615100">
            <w:pPr>
              <w:pStyle w:val="IOStabletext"/>
            </w:pPr>
            <w:r w:rsidRPr="00374FFA">
              <w:t>The relation between the integral and the primitive function.</w:t>
            </w:r>
          </w:p>
        </w:tc>
        <w:tc>
          <w:tcPr>
            <w:tcW w:w="9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FEF1" w14:textId="77777777" w:rsidR="00C3514B" w:rsidRPr="00374FFA" w:rsidRDefault="00C3514B" w:rsidP="00615100">
            <w:pPr>
              <w:pStyle w:val="IOStabletext"/>
            </w:pPr>
            <w:r w:rsidRPr="00374FFA">
              <w:t>The area under the graph should be explored</w:t>
            </w:r>
            <w:r w:rsidR="00615100">
              <w:t xml:space="preserve"> </w:t>
            </w:r>
            <w:r w:rsidRPr="00374FFA">
              <w:t>as having an upper and lower bound as c approaches x</w:t>
            </w:r>
            <w:r w:rsidR="00615100">
              <w:t xml:space="preserve"> </w:t>
            </w:r>
            <w:r w:rsidRPr="00374FFA">
              <w:t>(a full description can be found in the syllabus)</w:t>
            </w:r>
            <w:r w:rsidR="00615100">
              <w:t>.</w:t>
            </w:r>
          </w:p>
          <w:p w14:paraId="5FE94E9F" w14:textId="77777777" w:rsidR="00C3514B" w:rsidRPr="00374FFA" w:rsidRDefault="00C3514B" w:rsidP="00615100">
            <w:pPr>
              <w:pStyle w:val="IOStabletext"/>
            </w:pPr>
            <w:r w:rsidRPr="00374FFA">
              <w:t xml:space="preserve">Both definite and indefinite integrals should be practiced. </w:t>
            </w:r>
          </w:p>
          <w:p w14:paraId="147A1942" w14:textId="77777777" w:rsidR="00C3514B" w:rsidRPr="00374FFA" w:rsidRDefault="00C3514B" w:rsidP="00615100">
            <w:pPr>
              <w:pStyle w:val="IOStabletext"/>
            </w:pPr>
            <w:r w:rsidRPr="00374FFA">
              <w:t>The concept that the integral of a function between b and a is equivalent to the area under the curve between these two points needs to be explored in a variety of examples (which may include the later topics of exponential and log integration and trigonometric integration) as there have been a number of HSC questions that ask students to interpret graphs geometrically rather than analytically.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B73E" w14:textId="279DFF1B" w:rsidR="00C3514B" w:rsidRPr="00615100" w:rsidRDefault="000B476A" w:rsidP="00615100">
            <w:pPr>
              <w:pStyle w:val="IOStabletext"/>
            </w:pPr>
            <w:hyperlink r:id="rId16" w:history="1">
              <w:r w:rsidR="00C3514B" w:rsidRPr="000B476A">
                <w:rPr>
                  <w:rStyle w:val="Hyperlink"/>
                </w:rPr>
                <w:t>Catchy song that explains the fundamental theorem of calculus</w:t>
              </w:r>
            </w:hyperlink>
          </w:p>
          <w:p w14:paraId="78742834" w14:textId="045DD71B" w:rsidR="00C3514B" w:rsidRPr="000B476A" w:rsidRDefault="000B476A" w:rsidP="00615100">
            <w:pPr>
              <w:pStyle w:val="IOStabletext"/>
            </w:pPr>
            <w:hyperlink r:id="rId17" w:history="1">
              <w:r w:rsidR="00C3514B" w:rsidRPr="000B476A">
                <w:rPr>
                  <w:rStyle w:val="Hyperlink"/>
                </w:rPr>
                <w:t>Integrals Cheat Sheet</w:t>
              </w:r>
            </w:hyperlink>
          </w:p>
        </w:tc>
      </w:tr>
      <w:tr w:rsidR="00C3514B" w:rsidRPr="00374FFA" w14:paraId="06016E9F" w14:textId="77777777" w:rsidTr="00225495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513EA8A" w14:textId="77777777" w:rsidR="00C3514B" w:rsidRPr="00374FFA" w:rsidRDefault="00C3514B" w:rsidP="00615100">
            <w:pPr>
              <w:pStyle w:val="IOStabletext"/>
            </w:pPr>
            <w:r w:rsidRPr="00374FFA">
              <w:t>Approximate methods: trapezoidal rule and Simpson’s rule.</w:t>
            </w:r>
          </w:p>
        </w:tc>
        <w:tc>
          <w:tcPr>
            <w:tcW w:w="9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6EEC" w14:textId="77777777" w:rsidR="00C3514B" w:rsidRPr="00374FFA" w:rsidRDefault="00C3514B" w:rsidP="00615100">
            <w:pPr>
              <w:pStyle w:val="IOStabletext"/>
            </w:pPr>
            <w:r w:rsidRPr="00374FFA">
              <w:t>Approximate methods, trapezoidal rule and Simpson’s rule</w:t>
            </w:r>
            <w:r w:rsidR="00615100">
              <w:t xml:space="preserve"> should be explored as a way of:</w:t>
            </w:r>
          </w:p>
          <w:p w14:paraId="62C135D0" w14:textId="77777777" w:rsidR="00C3514B" w:rsidRPr="00374FFA" w:rsidRDefault="00C3514B" w:rsidP="00615100">
            <w:pPr>
              <w:pStyle w:val="IOStablelist"/>
            </w:pPr>
            <w:r w:rsidRPr="00374FFA">
              <w:t>Finding the approximate area under a curve when the function is not easily integrated.</w:t>
            </w:r>
          </w:p>
          <w:p w14:paraId="293A63DA" w14:textId="77777777" w:rsidR="00C3514B" w:rsidRPr="00374FFA" w:rsidRDefault="00C3514B" w:rsidP="00615100">
            <w:pPr>
              <w:pStyle w:val="IOStablelist"/>
            </w:pPr>
            <w:r w:rsidRPr="00374FFA">
              <w:t>Finding areas and volumes where a set of values are given for measurements at equal intervals along a length.</w:t>
            </w:r>
          </w:p>
          <w:p w14:paraId="191FB2F2" w14:textId="6658AFC6" w:rsidR="0084017D" w:rsidRDefault="00C3514B" w:rsidP="000B476A">
            <w:pPr>
              <w:pStyle w:val="IOStabletext"/>
              <w:rPr>
                <w:rFonts w:asciiTheme="minorHAnsi" w:hAnsiTheme="minorHAnsi"/>
              </w:rPr>
            </w:pPr>
            <w:r w:rsidRPr="00374FFA">
              <w:t>Trapezoidal Rule</w:t>
            </w:r>
          </w:p>
          <w:p w14:paraId="7020ACA0" w14:textId="1159E46E" w:rsidR="0084017D" w:rsidRPr="00374FFA" w:rsidRDefault="0084017D" w:rsidP="000B476A">
            <w:pPr>
              <w:widowControl w:val="0"/>
              <w:jc w:val="center"/>
              <w:rPr>
                <w:rFonts w:asciiTheme="minorHAnsi" w:hAnsiTheme="minorHAnsi"/>
              </w:rPr>
            </w:pPr>
            <w:r w:rsidRPr="0084017D">
              <w:rPr>
                <w:rFonts w:asciiTheme="minorHAnsi" w:hAnsiTheme="minorHAnsi"/>
                <w:position w:val="-24"/>
              </w:rPr>
              <w:object w:dxaOrig="2960" w:dyaOrig="620" w14:anchorId="6CA57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147.75pt;height:31.5pt" o:ole="">
                  <v:imagedata r:id="rId18" o:title=""/>
                </v:shape>
                <o:OLEObject Type="Embed" ProgID="Equation.DSMT4" ShapeID="_x0000_i1153" DrawAspect="Content" ObjectID="_1569055179" r:id="rId19"/>
              </w:object>
            </w:r>
          </w:p>
          <w:p w14:paraId="25CD761D" w14:textId="77777777" w:rsidR="00C3514B" w:rsidRPr="00374FFA" w:rsidRDefault="00C3514B" w:rsidP="00615100">
            <w:pPr>
              <w:pStyle w:val="IOStabletext"/>
            </w:pPr>
            <w:r w:rsidRPr="00374FFA">
              <w:t>Simpson’s Rule</w:t>
            </w:r>
          </w:p>
          <w:p w14:paraId="060B5A13" w14:textId="77777777" w:rsidR="0084017D" w:rsidRPr="00374FFA" w:rsidRDefault="0084017D" w:rsidP="000B476A">
            <w:pPr>
              <w:widowControl w:val="0"/>
              <w:jc w:val="center"/>
              <w:rPr>
                <w:rFonts w:asciiTheme="minorHAnsi" w:hAnsiTheme="minorHAnsi"/>
              </w:rPr>
            </w:pPr>
            <w:r w:rsidRPr="0084017D">
              <w:rPr>
                <w:rFonts w:asciiTheme="minorHAnsi" w:hAnsiTheme="minorHAnsi"/>
                <w:position w:val="-24"/>
              </w:rPr>
              <w:object w:dxaOrig="4120" w:dyaOrig="620" w14:anchorId="7098AAB8">
                <v:shape id="_x0000_i1154" type="#_x0000_t75" style="width:206.25pt;height:31.5pt" o:ole="">
                  <v:imagedata r:id="rId20" o:title=""/>
                </v:shape>
                <o:OLEObject Type="Embed" ProgID="Equation.DSMT4" ShapeID="_x0000_i1154" DrawAspect="Content" ObjectID="_1569055180" r:id="rId21"/>
              </w:object>
            </w:r>
          </w:p>
          <w:p w14:paraId="71706BF8" w14:textId="77777777" w:rsidR="00C3514B" w:rsidRPr="00374FFA" w:rsidRDefault="00615100" w:rsidP="00615100">
            <w:pPr>
              <w:pStyle w:val="IOStabletext"/>
            </w:pPr>
            <w:r w:rsidRPr="00374FFA">
              <w:t>Students should have a way of easily remembering the 2 formulas</w:t>
            </w:r>
            <w:r>
              <w:t xml:space="preserve"> </w:t>
            </w:r>
            <w:r w:rsidR="00C3514B" w:rsidRPr="00374FFA">
              <w:t>and a strategy for use of these formula for multiple subintervals. Thought should be given to whether it is easier to do 2 or 3 applications of the rule or to commit to memory the multiple applications versions of the rules.  Students should be shown both ways.</w:t>
            </w:r>
          </w:p>
          <w:p w14:paraId="00EB0DB9" w14:textId="2A6C6F6B" w:rsidR="00C3514B" w:rsidRPr="00374FFA" w:rsidRDefault="000B476A" w:rsidP="00615100">
            <w:pPr>
              <w:pStyle w:val="IOStabletext"/>
            </w:pPr>
            <w:r>
              <w:t>From the syllabus –</w:t>
            </w:r>
            <w:r w:rsidR="00C3514B" w:rsidRPr="00374FFA">
              <w:t xml:space="preserve"> “Examples should be confined to problems in which the resulting calculations are easily performed on a calculator, but should include functions whose integrals are discussed or occur later in this syllabus when examples involving them may appropriately be introduced.”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12CD" w14:textId="57429447" w:rsidR="00C3514B" w:rsidRPr="00615100" w:rsidRDefault="000B476A" w:rsidP="00615100">
            <w:pPr>
              <w:pStyle w:val="IOStabletext"/>
            </w:pPr>
            <w:hyperlink r:id="rId22" w:history="1">
              <w:r w:rsidR="00C3514B" w:rsidRPr="000B476A">
                <w:rPr>
                  <w:rStyle w:val="Hyperlink"/>
                </w:rPr>
                <w:t>Trapezoidal rule</w:t>
              </w:r>
              <w:r w:rsidRPr="000B476A">
                <w:rPr>
                  <w:rStyle w:val="Hyperlink"/>
                </w:rPr>
                <w:t xml:space="preserve"> YouTube video</w:t>
              </w:r>
            </w:hyperlink>
          </w:p>
          <w:p w14:paraId="52CF254B" w14:textId="0BC92D14" w:rsidR="00C3514B" w:rsidRPr="00615100" w:rsidRDefault="000B476A" w:rsidP="00615100">
            <w:pPr>
              <w:pStyle w:val="IOStabletext"/>
            </w:pPr>
            <w:hyperlink r:id="rId23" w:history="1">
              <w:r w:rsidR="00C3514B" w:rsidRPr="000B476A">
                <w:rPr>
                  <w:rStyle w:val="Hyperlink"/>
                </w:rPr>
                <w:t>Simpson’s rule</w:t>
              </w:r>
              <w:r w:rsidRPr="000B476A">
                <w:rPr>
                  <w:rStyle w:val="Hyperlink"/>
                </w:rPr>
                <w:t xml:space="preserve"> YouTube video</w:t>
              </w:r>
            </w:hyperlink>
          </w:p>
          <w:p w14:paraId="1457C3DB" w14:textId="365E5D05" w:rsidR="00C3514B" w:rsidRPr="00374FFA" w:rsidRDefault="00C3514B" w:rsidP="000B476A">
            <w:pPr>
              <w:pStyle w:val="IOStabletext"/>
            </w:pPr>
            <w:r w:rsidRPr="00615100">
              <w:t>Note</w:t>
            </w:r>
            <w:r w:rsidR="000B476A">
              <w:t xml:space="preserve"> –</w:t>
            </w:r>
            <w:r w:rsidRPr="00615100">
              <w:t xml:space="preserve"> these 2 videos use a graphics calculator to find function values</w:t>
            </w:r>
          </w:p>
        </w:tc>
      </w:tr>
      <w:tr w:rsidR="00C3514B" w:rsidRPr="00374FFA" w14:paraId="5DF94C1F" w14:textId="77777777" w:rsidTr="00225495"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FD76DD" w14:textId="77777777" w:rsidR="00C3514B" w:rsidRPr="00374FFA" w:rsidRDefault="00C3514B" w:rsidP="00615100">
            <w:pPr>
              <w:pStyle w:val="IOStabletext"/>
            </w:pPr>
            <w:r w:rsidRPr="00374FFA">
              <w:t>Applications of integration: areas and volumes of solids of revolution.</w:t>
            </w:r>
          </w:p>
        </w:tc>
        <w:tc>
          <w:tcPr>
            <w:tcW w:w="9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09D3" w14:textId="77777777" w:rsidR="00C3514B" w:rsidRPr="00374FFA" w:rsidRDefault="00C3514B" w:rsidP="00615100">
            <w:pPr>
              <w:pStyle w:val="IOStabletext"/>
            </w:pPr>
            <w:r w:rsidRPr="00374FFA">
              <w:t>Areas:</w:t>
            </w:r>
          </w:p>
          <w:p w14:paraId="7D73C222" w14:textId="77777777" w:rsidR="00C3514B" w:rsidRPr="00374FFA" w:rsidRDefault="00C3514B" w:rsidP="00615100">
            <w:pPr>
              <w:pStyle w:val="IOStabletext"/>
            </w:pPr>
            <w:r w:rsidRPr="00374FFA">
              <w:t>Problems involving areas bounded by the x- axis, y-axis and areas between 2 curves should be investigated. Students should be always do a sketch of the problem to help them work out which integral will solve the problem.</w:t>
            </w:r>
          </w:p>
          <w:p w14:paraId="5CEB946D" w14:textId="77777777" w:rsidR="00C3514B" w:rsidRPr="00374FFA" w:rsidRDefault="00C3514B" w:rsidP="00615100">
            <w:pPr>
              <w:pStyle w:val="IOStabletext"/>
            </w:pPr>
            <w:r w:rsidRPr="00374FFA">
              <w:t>Volumes:</w:t>
            </w:r>
          </w:p>
          <w:p w14:paraId="54AA0006" w14:textId="77777777" w:rsidR="00C3514B" w:rsidRPr="00374FFA" w:rsidRDefault="00C3514B" w:rsidP="00615100">
            <w:pPr>
              <w:pStyle w:val="IOStabletext"/>
            </w:pPr>
            <w:r w:rsidRPr="00374FFA">
              <w:t>Only the disk method is used for volumes of solids of revolution in the Mathematics (2U) course.</w:t>
            </w:r>
          </w:p>
          <w:p w14:paraId="18CFCBA3" w14:textId="77777777" w:rsidR="00C3514B" w:rsidRPr="00374FFA" w:rsidRDefault="00C3514B" w:rsidP="00615100">
            <w:pPr>
              <w:pStyle w:val="IOStabletext"/>
            </w:pPr>
            <w:r w:rsidRPr="00374FFA">
              <w:t>Volumes could be made by revolving the function round either the x or the y axis.</w:t>
            </w:r>
          </w:p>
          <w:p w14:paraId="76C3DD71" w14:textId="77777777" w:rsidR="00C3514B" w:rsidRPr="00374FFA" w:rsidRDefault="00C3514B" w:rsidP="00615100">
            <w:pPr>
              <w:pStyle w:val="IOStabletext"/>
            </w:pPr>
            <w:r w:rsidRPr="00374FFA">
              <w:t>Students should have a method they work through to build up the interval rather than simply rote learning each type of problem as questions may be of the form “Describe,</w:t>
            </w:r>
            <w:r>
              <w:t xml:space="preserve"> e</w:t>
            </w:r>
            <w:r w:rsidRPr="00374FFA">
              <w:t>xplain etc.”</w:t>
            </w:r>
          </w:p>
          <w:p w14:paraId="53131EDA" w14:textId="77777777" w:rsidR="00C3514B" w:rsidRPr="00374FFA" w:rsidRDefault="00C3514B" w:rsidP="00615100">
            <w:pPr>
              <w:pStyle w:val="IOStabletext"/>
            </w:pPr>
            <w:r w:rsidRPr="00374FFA">
              <w:t>The volume of a cone and a sphere should be derived</w:t>
            </w:r>
          </w:p>
          <w:p w14:paraId="1F937321" w14:textId="77777777" w:rsidR="00C3514B" w:rsidRPr="00374FFA" w:rsidRDefault="00C3514B" w:rsidP="00615100">
            <w:pPr>
              <w:pStyle w:val="IOStabletext"/>
            </w:pPr>
            <w:r w:rsidRPr="00374FFA">
              <w:t>This section of integration should revisited using exponential, logarithmic and trigonometric functions after they are covered in the course.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7BF9" w14:textId="6BB5DDD6" w:rsidR="00C3514B" w:rsidRPr="00615100" w:rsidRDefault="000B476A" w:rsidP="00615100">
            <w:pPr>
              <w:pStyle w:val="IOStabletext"/>
            </w:pPr>
            <w:hyperlink r:id="rId24" w:history="1">
              <w:r w:rsidR="00C3514B" w:rsidRPr="000B476A">
                <w:rPr>
                  <w:rStyle w:val="Hyperlink"/>
                </w:rPr>
                <w:t>Volumes of solids of revolution</w:t>
              </w:r>
              <w:r w:rsidRPr="000B476A">
                <w:rPr>
                  <w:rStyle w:val="Hyperlink"/>
                </w:rPr>
                <w:t xml:space="preserve"> YouTube video</w:t>
              </w:r>
            </w:hyperlink>
          </w:p>
          <w:p w14:paraId="284A30C0" w14:textId="77777777" w:rsidR="00C3514B" w:rsidRPr="00615100" w:rsidRDefault="00C3514B" w:rsidP="00615100">
            <w:pPr>
              <w:pStyle w:val="IOStabletext"/>
            </w:pPr>
            <w:r w:rsidRPr="00615100">
              <w:t>Past HSC questions</w:t>
            </w:r>
          </w:p>
          <w:p w14:paraId="413D0BC5" w14:textId="77777777" w:rsidR="00C3514B" w:rsidRPr="00374FFA" w:rsidRDefault="00C3514B" w:rsidP="00615100">
            <w:pPr>
              <w:pStyle w:val="IOStabletext"/>
            </w:pPr>
            <w:r w:rsidRPr="00615100">
              <w:t>2012 Q10</w:t>
            </w:r>
          </w:p>
        </w:tc>
      </w:tr>
    </w:tbl>
    <w:p w14:paraId="3FEA2D02" w14:textId="77777777" w:rsidR="003359D1" w:rsidRPr="00B53F97" w:rsidRDefault="003359D1" w:rsidP="003B7D00">
      <w:pPr>
        <w:pStyle w:val="IOSbodytext"/>
      </w:pPr>
    </w:p>
    <w:sectPr w:rsidR="003359D1" w:rsidRPr="00B53F97" w:rsidSect="000B476A">
      <w:type w:val="continuous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F392" w14:textId="77777777" w:rsidR="000364EE" w:rsidRDefault="000364EE" w:rsidP="00480FD7">
      <w:r>
        <w:separator/>
      </w:r>
    </w:p>
  </w:endnote>
  <w:endnote w:type="continuationSeparator" w:id="0">
    <w:p w14:paraId="0FC4F61E" w14:textId="77777777" w:rsidR="000364EE" w:rsidRDefault="000364EE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5A91" w14:textId="202D749A" w:rsidR="00995898" w:rsidRPr="004E338C" w:rsidRDefault="00AA1AD8" w:rsidP="000B476A">
    <w:pPr>
      <w:pStyle w:val="IOSfooter"/>
      <w:tabs>
        <w:tab w:val="clear" w:pos="5245"/>
        <w:tab w:val="clear" w:pos="10773"/>
        <w:tab w:val="right" w:pos="15168"/>
        <w:tab w:val="left" w:pos="15309"/>
      </w:tabs>
      <w:spacing w:before="120"/>
    </w:pPr>
    <w:r>
      <w:t>M</w:t>
    </w:r>
    <w:r w:rsidR="000364EE">
      <w:t>athematics</w:t>
    </w:r>
    <w:r w:rsidR="000364EE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681204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8736" w14:textId="77777777" w:rsidR="000364EE" w:rsidRDefault="000364EE" w:rsidP="00480FD7">
      <w:r>
        <w:separator/>
      </w:r>
    </w:p>
  </w:footnote>
  <w:footnote w:type="continuationSeparator" w:id="0">
    <w:p w14:paraId="08C8E229" w14:textId="77777777" w:rsidR="000364EE" w:rsidRDefault="000364EE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4250"/>
    <w:multiLevelType w:val="multilevel"/>
    <w:tmpl w:val="876801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C3082"/>
    <w:multiLevelType w:val="multilevel"/>
    <w:tmpl w:val="610A5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7C2"/>
    <w:multiLevelType w:val="multilevel"/>
    <w:tmpl w:val="31141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E34FC"/>
    <w:multiLevelType w:val="multilevel"/>
    <w:tmpl w:val="0C09001D"/>
    <w:numStyleLink w:val="IOSList1new"/>
  </w:abstractNum>
  <w:abstractNum w:abstractNumId="23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43224"/>
    <w:multiLevelType w:val="multilevel"/>
    <w:tmpl w:val="83582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23"/>
  </w:num>
  <w:num w:numId="14">
    <w:abstractNumId w:val="9"/>
  </w:num>
  <w:num w:numId="15">
    <w:abstractNumId w:val="21"/>
  </w:num>
  <w:num w:numId="16">
    <w:abstractNumId w:val="7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21"/>
  </w:num>
  <w:num w:numId="25">
    <w:abstractNumId w:val="15"/>
  </w:num>
  <w:num w:numId="26">
    <w:abstractNumId w:val="15"/>
  </w:num>
  <w:num w:numId="27">
    <w:abstractNumId w:val="10"/>
  </w:num>
  <w:num w:numId="28">
    <w:abstractNumId w:val="1"/>
  </w:num>
  <w:num w:numId="29">
    <w:abstractNumId w:val="21"/>
  </w:num>
  <w:num w:numId="30">
    <w:abstractNumId w:val="15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1"/>
  </w:num>
  <w:num w:numId="36">
    <w:abstractNumId w:val="15"/>
  </w:num>
  <w:num w:numId="37">
    <w:abstractNumId w:val="15"/>
  </w:num>
  <w:num w:numId="38">
    <w:abstractNumId w:val="10"/>
  </w:num>
  <w:num w:numId="39">
    <w:abstractNumId w:val="8"/>
  </w:num>
  <w:num w:numId="40">
    <w:abstractNumId w:val="24"/>
  </w:num>
  <w:num w:numId="41">
    <w:abstractNumId w:val="13"/>
  </w:num>
  <w:num w:numId="42">
    <w:abstractNumId w:val="22"/>
  </w:num>
  <w:num w:numId="43">
    <w:abstractNumId w:val="3"/>
  </w:num>
  <w:num w:numId="44">
    <w:abstractNumId w:val="12"/>
  </w:num>
  <w:num w:numId="45">
    <w:abstractNumId w:val="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E"/>
    <w:rsid w:val="00010671"/>
    <w:rsid w:val="00010B54"/>
    <w:rsid w:val="000364EE"/>
    <w:rsid w:val="00076446"/>
    <w:rsid w:val="000B476A"/>
    <w:rsid w:val="000C3B9A"/>
    <w:rsid w:val="000C4732"/>
    <w:rsid w:val="000F6821"/>
    <w:rsid w:val="00100563"/>
    <w:rsid w:val="001440CA"/>
    <w:rsid w:val="00186118"/>
    <w:rsid w:val="001E1B75"/>
    <w:rsid w:val="001F1D0D"/>
    <w:rsid w:val="001F6BBE"/>
    <w:rsid w:val="00210436"/>
    <w:rsid w:val="00215471"/>
    <w:rsid w:val="00215956"/>
    <w:rsid w:val="002208BE"/>
    <w:rsid w:val="00225495"/>
    <w:rsid w:val="00225BA0"/>
    <w:rsid w:val="002407B2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076AC"/>
    <w:rsid w:val="00334511"/>
    <w:rsid w:val="003359D1"/>
    <w:rsid w:val="00341F8B"/>
    <w:rsid w:val="003434F6"/>
    <w:rsid w:val="00361327"/>
    <w:rsid w:val="00367FB2"/>
    <w:rsid w:val="00397617"/>
    <w:rsid w:val="003B3062"/>
    <w:rsid w:val="003B7D00"/>
    <w:rsid w:val="004668BC"/>
    <w:rsid w:val="00480C44"/>
    <w:rsid w:val="00480FD7"/>
    <w:rsid w:val="004B4B05"/>
    <w:rsid w:val="004E338C"/>
    <w:rsid w:val="004F35B3"/>
    <w:rsid w:val="00504555"/>
    <w:rsid w:val="005202C7"/>
    <w:rsid w:val="00530B64"/>
    <w:rsid w:val="005402DE"/>
    <w:rsid w:val="00541AE4"/>
    <w:rsid w:val="005764DE"/>
    <w:rsid w:val="00595476"/>
    <w:rsid w:val="005B53AD"/>
    <w:rsid w:val="005C7E88"/>
    <w:rsid w:val="005D1A4E"/>
    <w:rsid w:val="00615100"/>
    <w:rsid w:val="00642245"/>
    <w:rsid w:val="00652107"/>
    <w:rsid w:val="0065761A"/>
    <w:rsid w:val="00662F4D"/>
    <w:rsid w:val="006735CE"/>
    <w:rsid w:val="00681204"/>
    <w:rsid w:val="00684627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C6100"/>
    <w:rsid w:val="007D0956"/>
    <w:rsid w:val="0080474D"/>
    <w:rsid w:val="00804F4F"/>
    <w:rsid w:val="0084017D"/>
    <w:rsid w:val="00846B99"/>
    <w:rsid w:val="00861F4B"/>
    <w:rsid w:val="00863F90"/>
    <w:rsid w:val="008750C7"/>
    <w:rsid w:val="008C2BB3"/>
    <w:rsid w:val="008E5BD7"/>
    <w:rsid w:val="008F5BE1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798B"/>
    <w:rsid w:val="00A21F45"/>
    <w:rsid w:val="00A370B3"/>
    <w:rsid w:val="00A57066"/>
    <w:rsid w:val="00A67905"/>
    <w:rsid w:val="00AA168F"/>
    <w:rsid w:val="00AA1AD8"/>
    <w:rsid w:val="00AA5AC4"/>
    <w:rsid w:val="00AB62F9"/>
    <w:rsid w:val="00AC269B"/>
    <w:rsid w:val="00AC44EA"/>
    <w:rsid w:val="00AE67E3"/>
    <w:rsid w:val="00AE79D8"/>
    <w:rsid w:val="00B24CBA"/>
    <w:rsid w:val="00B301C2"/>
    <w:rsid w:val="00B40474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3514B"/>
    <w:rsid w:val="00CA461E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3B99"/>
    <w:rsid w:val="00DF6F06"/>
    <w:rsid w:val="00E06650"/>
    <w:rsid w:val="00E26D32"/>
    <w:rsid w:val="00E4198A"/>
    <w:rsid w:val="00E42AE6"/>
    <w:rsid w:val="00E45779"/>
    <w:rsid w:val="00E50066"/>
    <w:rsid w:val="00E639B8"/>
    <w:rsid w:val="00E86FE9"/>
    <w:rsid w:val="00E95EA2"/>
    <w:rsid w:val="00EC1887"/>
    <w:rsid w:val="00EF6D6A"/>
    <w:rsid w:val="00F209C7"/>
    <w:rsid w:val="00F373A4"/>
    <w:rsid w:val="00F40A03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D2C5FF"/>
  <w14:defaultImageDpi w14:val="300"/>
  <w15:docId w15:val="{68B9B0B2-C562-47C7-B5F5-2A84E28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530B6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3076AC"/>
    <w:pPr>
      <w:numPr>
        <w:numId w:val="0"/>
      </w:numPr>
      <w:ind w:left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0364EE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530B64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036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EE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7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chives.math.utk.edu/visual.calculus/4/index.html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archives.math.utk.edu/visual.calculus/4/areas.4/" TargetMode="External"/><Relationship Id="rId17" Type="http://schemas.openxmlformats.org/officeDocument/2006/relationships/hyperlink" Target="http://tutorial.math.lamar.edu/pdf/Calculus_Cheat_Sheet_Integral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gMdh_fiGZag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equella.det.nsw.edu.au/items/07c79e99-fecb-4621-ba0e-ffa8524bb0aa/1/" TargetMode="External"/><Relationship Id="rId24" Type="http://schemas.openxmlformats.org/officeDocument/2006/relationships/hyperlink" Target="https://youtu.be/1CbZlM09z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GcHkG_vewI" TargetMode="External"/><Relationship Id="rId23" Type="http://schemas.openxmlformats.org/officeDocument/2006/relationships/hyperlink" Target="https://www.youtube.com/watch?v=z_AdoS-ab2w" TargetMode="External"/><Relationship Id="rId10" Type="http://schemas.openxmlformats.org/officeDocument/2006/relationships/hyperlink" Target="http://www.amsi.org.au/ESA_Senior_Years/SeniorTopic3/3_md/SeniorTopic3f.html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a/education.nsw.gov.au/file/d/0B9hzfac53d3tbF9wSXpFcEFOLUk/view?usp=sharing" TargetMode="External"/><Relationship Id="rId22" Type="http://schemas.openxmlformats.org/officeDocument/2006/relationships/hyperlink" Target="https://www.youtube.com/watch?v=JGeCLfLaK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32F48-88B4-4130-A90F-AE18A92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</vt:lpstr>
    </vt:vector>
  </TitlesOfParts>
  <Company>NSW, Department of Education and Training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creator/>
  <cp:lastModifiedBy>Jensen, Amy</cp:lastModifiedBy>
  <cp:revision>4</cp:revision>
  <cp:lastPrinted>2016-07-07T23:41:00Z</cp:lastPrinted>
  <dcterms:created xsi:type="dcterms:W3CDTF">2017-10-06T03:51:00Z</dcterms:created>
  <dcterms:modified xsi:type="dcterms:W3CDTF">2017-10-09T00:50:00Z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