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E5" w:rsidRDefault="00311FC9" w:rsidP="00D20C6A">
      <w:pPr>
        <w:pStyle w:val="Heading1"/>
      </w:pPr>
      <w:r>
        <w:t xml:space="preserve">Bean </w:t>
      </w:r>
      <w:r w:rsidRPr="00D20C6A">
        <w:t>responds</w:t>
      </w:r>
    </w:p>
    <w:p w:rsidR="005F5BE5" w:rsidRDefault="00311FC9">
      <w:pPr>
        <w:pStyle w:val="Body"/>
      </w:pPr>
      <w:r>
        <w:t xml:space="preserve">It was true [Ashmead-Bartlett's sacking because of his letter]. About a month ago he got Murdoch, the Australian </w:t>
      </w:r>
      <w:r>
        <w:rPr>
          <w:i/>
          <w:iCs/>
        </w:rPr>
        <w:t>Sun</w:t>
      </w:r>
      <w:r>
        <w:t xml:space="preserve"> correspondent, who is going to London, to take home with him a letter to the [British] Prime Minister putting the state of things here in a somewhat crude light. It was a brilliantly written letter — rather overstating the case as Bartlett always does, bu</w:t>
      </w:r>
      <w:r>
        <w:t>t a great deal of it is absolutely unanswerable and badly needs understanding… Bartlett's letter was worth the consideration of any man, and I've no doubt it will be considered in time. Several members of the cabinet asked him to write to them privately…</w:t>
      </w:r>
    </w:p>
    <w:p w:rsidR="005F5BE5" w:rsidRDefault="00311FC9">
      <w:pPr>
        <w:pStyle w:val="Body"/>
      </w:pPr>
      <w:r>
        <w:t>T</w:t>
      </w:r>
      <w:r>
        <w:t>he little worm of a Press Officer [a British officer who was sent to Gallipoli to oversee the journalists] who I think keeps a spy in our camp in the shape of one of the servants seems to have found out that Murdoch was carrying the letter. A wire was sent</w:t>
      </w:r>
      <w:r>
        <w:t xml:space="preserve"> home and Murdoch was either search or forced to give the letter up. Hamilton [the Commanding General at Gallipoli] also received a wire from the war office telling him that Bartlett must be recalled.</w:t>
      </w:r>
    </w:p>
    <w:p w:rsidR="005F5BE5" w:rsidRDefault="00311FC9">
      <w:pPr>
        <w:pStyle w:val="Body"/>
      </w:pPr>
      <w:r>
        <w:t xml:space="preserve">Diary of Bean C in </w:t>
      </w:r>
      <w:proofErr w:type="spellStart"/>
      <w:r>
        <w:t>Fewster</w:t>
      </w:r>
      <w:proofErr w:type="spellEnd"/>
      <w:r>
        <w:t xml:space="preserve"> K (2009), </w:t>
      </w:r>
      <w:r>
        <w:rPr>
          <w:i/>
          <w:iCs/>
        </w:rPr>
        <w:t>Bean's Gallipoli</w:t>
      </w:r>
      <w:r>
        <w:t xml:space="preserve">, </w:t>
      </w:r>
      <w:r>
        <w:t>Allen and Unwin, Sydney, p.207</w:t>
      </w:r>
    </w:p>
    <w:sectPr w:rsidR="005F5BE5">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FC9" w:rsidRDefault="00311FC9">
      <w:r>
        <w:separator/>
      </w:r>
    </w:p>
  </w:endnote>
  <w:endnote w:type="continuationSeparator" w:id="0">
    <w:p w:rsidR="00311FC9" w:rsidRDefault="0031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E5" w:rsidRDefault="00311FC9">
    <w:pPr>
      <w:pStyle w:val="Footer"/>
    </w:pPr>
    <w:r>
      <w:t xml:space="preserve">© State of NSW, </w:t>
    </w:r>
    <w:r w:rsidR="00D20C6A" w:rsidRPr="00D20C6A">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FC9" w:rsidRDefault="00311FC9">
      <w:r>
        <w:separator/>
      </w:r>
    </w:p>
  </w:footnote>
  <w:footnote w:type="continuationSeparator" w:id="0">
    <w:p w:rsidR="00311FC9" w:rsidRDefault="00311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E5" w:rsidRDefault="00311FC9">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bookmarkStart w:id="0" w:name="_GoBack"/>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bookmarkEnd w:id="0"/>
    <w:r>
      <w:t>Centenary of the First World War</w:t>
    </w:r>
  </w:p>
  <w:p w:rsidR="005F5BE5" w:rsidRDefault="00311FC9">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F5BE5"/>
    <w:rsid w:val="00311FC9"/>
    <w:rsid w:val="005F5BE5"/>
    <w:rsid w:val="00D20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D20C6A"/>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D20C6A"/>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D20C6A"/>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D20C6A"/>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976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Bean responds – Centenary of the First World War – Perspectives</dc:title>
  <cp:lastModifiedBy>Tromboukis, Martha</cp:lastModifiedBy>
  <cp:revision>3</cp:revision>
  <dcterms:created xsi:type="dcterms:W3CDTF">2016-10-13T22:57:00Z</dcterms:created>
  <dcterms:modified xsi:type="dcterms:W3CDTF">2016-10-13T22:58:00Z</dcterms:modified>
</cp:coreProperties>
</file>