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AC" w:rsidRDefault="00030E27" w:rsidP="009F7400">
      <w:pPr>
        <w:pStyle w:val="Heading1"/>
      </w:pPr>
      <w:r>
        <w:t>Bean’</w:t>
      </w:r>
      <w:r>
        <w:t xml:space="preserve">s </w:t>
      </w:r>
      <w:proofErr w:type="spellStart"/>
      <w:r w:rsidRPr="009F7400">
        <w:t>defence</w:t>
      </w:r>
      <w:proofErr w:type="spellEnd"/>
    </w:p>
    <w:p w:rsidR="00F838AC" w:rsidRDefault="00030E27">
      <w:pPr>
        <w:pStyle w:val="Body"/>
      </w:pPr>
      <w:r>
        <w:t xml:space="preserve">The article which I sent last Christmas about the troops being in danger of losing their good name through a rowdy element which ought never to have been allowed to enlist, or at any rate to </w:t>
      </w:r>
      <w:proofErr w:type="spellStart"/>
      <w:r>
        <w:t>sail,has</w:t>
      </w:r>
      <w:proofErr w:type="spellEnd"/>
      <w:r>
        <w:t xml:space="preserve"> got that here and is causing a quite unexpected amount o</w:t>
      </w:r>
      <w:r>
        <w:t>f feeling amongst the troops. I have read it and re-read it and I can't see a word in it that anyone in the force — any decent man at any rate — can object to.</w:t>
      </w:r>
    </w:p>
    <w:p w:rsidR="00F838AC" w:rsidRDefault="00030E27">
      <w:pPr>
        <w:pStyle w:val="Body"/>
      </w:pPr>
      <w:r>
        <w:t>I have done two things to try and put things as far as possible right, with regard to that artic</w:t>
      </w:r>
      <w:r>
        <w:t>le. There is no doubt it is exceedingly unpopular and I don't suppose it will be forgotten for a week or two for the 1st Australian division. Today I got things shouted at me sometimes when I went through the camp … 'Do you read the Argus?' and things a go</w:t>
      </w:r>
      <w:r>
        <w:t>od deal warmer, occasionally, than that …</w:t>
      </w:r>
    </w:p>
    <w:p w:rsidR="00F838AC" w:rsidRDefault="00030E27">
      <w:pPr>
        <w:pStyle w:val="Body"/>
      </w:pPr>
      <w:r>
        <w:t>My job is to see that at any rate the blame is put on the right people and that the innocent don't get a bad name for what they didn't do. When things go right I have to try and see the Australian people know the r</w:t>
      </w:r>
      <w:r>
        <w:t>ight people to get the credit. If they want someone to feed them on soft pap, only to tell them good and pleasant things whatever happens, then I am not the man for the job. I am not going to shift any part of the responsibility for this article on to othe</w:t>
      </w:r>
      <w:r>
        <w:t>r shoulders.</w:t>
      </w:r>
    </w:p>
    <w:p w:rsidR="00F838AC" w:rsidRDefault="00030E27">
      <w:pPr>
        <w:pStyle w:val="Body"/>
      </w:pPr>
      <w:r>
        <w:t xml:space="preserve">Diary of </w:t>
      </w:r>
      <w:r>
        <w:t xml:space="preserve">Bean C in </w:t>
      </w:r>
      <w:proofErr w:type="spellStart"/>
      <w:r>
        <w:t>Fewster</w:t>
      </w:r>
      <w:proofErr w:type="spellEnd"/>
      <w:r>
        <w:t xml:space="preserve"> K (2009) </w:t>
      </w:r>
      <w:r>
        <w:rPr>
          <w:i/>
          <w:iCs/>
        </w:rPr>
        <w:t>Bean's Gallipoli</w:t>
      </w:r>
      <w:r>
        <w:t>, Allen and Unwin, Sydney, pp.49, 51</w:t>
      </w:r>
    </w:p>
    <w:sectPr w:rsidR="00F838AC">
      <w:headerReference w:type="default" r:id="rId7"/>
      <w:footerReference w:type="default" r:id="rId8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27" w:rsidRDefault="00030E27">
      <w:r>
        <w:separator/>
      </w:r>
    </w:p>
  </w:endnote>
  <w:endnote w:type="continuationSeparator" w:id="0">
    <w:p w:rsidR="00030E27" w:rsidRDefault="0003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AC" w:rsidRDefault="00030E27">
    <w:pPr>
      <w:pStyle w:val="Footer"/>
    </w:pPr>
    <w:r>
      <w:t xml:space="preserve">© State of NSW, </w:t>
    </w:r>
    <w:r w:rsidR="009F7400" w:rsidRPr="009F7400">
      <w:t xml:space="preserve">Department of Education, </w:t>
    </w:r>
    <w:r w:rsidR="009F7400" w:rsidRPr="009F7400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27" w:rsidRDefault="00030E27">
      <w:r>
        <w:separator/>
      </w:r>
    </w:p>
  </w:footnote>
  <w:footnote w:type="continuationSeparator" w:id="0">
    <w:p w:rsidR="00030E27" w:rsidRDefault="00030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AC" w:rsidRDefault="00030E27">
    <w:pPr>
      <w:pStyle w:val="Title"/>
    </w:pPr>
    <w:r>
      <w:rPr>
        <w:noProof/>
        <w:lang w:val="de-DE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bookmarkStart w:id="0" w:name="_GoBack"/>
    <w:r>
      <w:rPr>
        <w:noProof/>
        <w:lang w:val="de-DE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Neal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bookmarkEnd w:id="0"/>
    <w:r>
      <w:t>Centenary of the First World War</w:t>
    </w:r>
  </w:p>
  <w:p w:rsidR="00F838AC" w:rsidRDefault="00030E27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38AC"/>
    <w:rsid w:val="00030E27"/>
    <w:rsid w:val="009F7400"/>
    <w:rsid w:val="00F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9F7400"/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</w:rPr>
  </w:style>
  <w:style w:type="character" w:customStyle="1" w:styleId="Heading1Char">
    <w:name w:val="Heading 1 Char"/>
    <w:basedOn w:val="DefaultParagraphFont"/>
    <w:link w:val="Heading1"/>
    <w:uiPriority w:val="9"/>
    <w:rsid w:val="009F7400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9F7400"/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</w:rPr>
  </w:style>
  <w:style w:type="character" w:customStyle="1" w:styleId="Heading1Char">
    <w:name w:val="Heading 1 Char"/>
    <w:basedOn w:val="DefaultParagraphFont"/>
    <w:link w:val="Heading1"/>
    <w:uiPriority w:val="9"/>
    <w:rsid w:val="009F7400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1121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Bean’s defence – Centenary of the First World War – Perspectives</dc:title>
  <cp:lastModifiedBy>Tromboukis, Martha</cp:lastModifiedBy>
  <cp:revision>2</cp:revision>
  <dcterms:created xsi:type="dcterms:W3CDTF">2016-10-13T22:45:00Z</dcterms:created>
  <dcterms:modified xsi:type="dcterms:W3CDTF">2016-10-13T22:46:00Z</dcterms:modified>
</cp:coreProperties>
</file>