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F5C5B" w:rsidRDefault="001842B1" w:rsidP="001842B1">
      <w:pPr>
        <w:pStyle w:val="Heading1"/>
      </w:pPr>
      <w:r>
        <w:t xml:space="preserve">Gallipoli and the Western </w:t>
      </w:r>
      <w:r w:rsidRPr="001842B1">
        <w:t>Front</w:t>
      </w:r>
    </w:p>
    <w:p w:rsidR="000F5C5B" w:rsidRDefault="002F67E0">
      <w:pPr>
        <w:pStyle w:val="Body"/>
      </w:pPr>
      <w:r>
        <w:t xml:space="preserve">About half the troops had learnt trench warfare in Gallipoli, but here in Flanders [the Western Front] it was less tense and more comfortable. Food, brought up on the tramways by nightly ration parties, was more varied; </w:t>
      </w:r>
      <w:r>
        <w:t>water was 'laid on' through pipes. Instead of steep, dusty paths leading almost immediately down to the sea lapping the shingles, there was an approach through mile-long communication trenches, winding throu</w:t>
      </w:r>
      <w:bookmarkStart w:id="0" w:name="_GoBack"/>
      <w:bookmarkEnd w:id="0"/>
      <w:r>
        <w:t xml:space="preserve">gh green fields and hedgerows. Behind these were </w:t>
      </w:r>
      <w:r>
        <w:t>country roads, farms and villages to which the battalions and brigades were regularly with drawn for rest. There were shops in the villages... at least one of them within 800 yards of the firing line; men hopped out of the communication trench to go across</w:t>
      </w:r>
      <w:r>
        <w:t xml:space="preserve"> the fields to it. Farther back were excellent British canteens, reading and writing rooms, army baths where underclothing with periodically freed from fleas and lice...</w:t>
      </w:r>
    </w:p>
    <w:p w:rsidR="000F5C5B" w:rsidRDefault="002F67E0">
      <w:pPr>
        <w:pStyle w:val="Body"/>
      </w:pPr>
      <w:r>
        <w:t xml:space="preserve">A further advantage, unheard of in Gallipoli, was that of periodical leave — at about </w:t>
      </w:r>
      <w:r>
        <w:t>yearly intervals — to Great Britain. This home of most of their ancestors, to which nearly all Australians had longed to make pilgrimage, is now only seventy miles behind them...</w:t>
      </w:r>
    </w:p>
    <w:p w:rsidR="000F5C5B" w:rsidRDefault="002F67E0">
      <w:pPr>
        <w:pStyle w:val="Body"/>
      </w:pPr>
      <w:r>
        <w:t>The Australians also had better weapons available that in Gallipoli. The mach</w:t>
      </w:r>
      <w:r>
        <w:t>ine-guns and their crews had, in Egypt, been taken away from the infantry battalion... but four Lewis guns [better machine guns]... had been allotted to each infantry battalion... instead... Each division's artillery had, in addition to its twelve batterie</w:t>
      </w:r>
      <w:r>
        <w:t>s of 18-pounder field-guns, three batteries of 4.5 inch howitzers...</w:t>
      </w:r>
    </w:p>
    <w:p w:rsidR="000F5C5B" w:rsidRDefault="002F67E0">
      <w:pPr>
        <w:pStyle w:val="Body"/>
      </w:pPr>
      <w:r>
        <w:t>Moreover the troops had been equipped with steel helmets of the oval, saucer-like British pattern; and during the next three months their cloth gas-helmets were replaced by small box-resp</w:t>
      </w:r>
      <w:r>
        <w:t>irators.</w:t>
      </w:r>
    </w:p>
    <w:p w:rsidR="000F5C5B" w:rsidRDefault="002F67E0">
      <w:pPr>
        <w:pStyle w:val="Body"/>
      </w:pPr>
      <w:r>
        <w:t xml:space="preserve">Bean C (1946) </w:t>
      </w:r>
      <w:r>
        <w:rPr>
          <w:i/>
          <w:iCs/>
        </w:rPr>
        <w:t>Anzacs to Amiens</w:t>
      </w:r>
      <w:r>
        <w:t>, Penguin Books, Melbourne, pp.202-03</w:t>
      </w:r>
    </w:p>
    <w:sectPr w:rsidR="000F5C5B">
      <w:headerReference w:type="default" r:id="rId7"/>
      <w:footerReference w:type="default" r:id="rId8"/>
      <w:pgSz w:w="11900" w:h="16840"/>
      <w:pgMar w:top="1560" w:right="1133" w:bottom="1440" w:left="1134" w:header="284" w:footer="708"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F67E0" w:rsidRDefault="002F67E0">
      <w:r>
        <w:separator/>
      </w:r>
    </w:p>
  </w:endnote>
  <w:endnote w:type="continuationSeparator" w:id="0">
    <w:p w:rsidR="002F67E0" w:rsidRDefault="002F67E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00"/>
    <w:family w:val="swiss"/>
    <w:pitch w:val="variable"/>
    <w:sig w:usb0="E0002AFF" w:usb1="C0007843" w:usb2="00000009" w:usb3="00000000" w:csb0="000001FF" w:csb1="00000000"/>
  </w:font>
  <w:font w:name="Helvetica">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F5C5B" w:rsidRDefault="002F67E0">
    <w:pPr>
      <w:pStyle w:val="Footer"/>
    </w:pPr>
    <w:r>
      <w:t xml:space="preserve">© State of NSW, </w:t>
    </w:r>
    <w:r w:rsidR="001842B1" w:rsidRPr="001842B1">
      <w:t>Department of Education, 2016</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F67E0" w:rsidRDefault="002F67E0">
      <w:r>
        <w:separator/>
      </w:r>
    </w:p>
  </w:footnote>
  <w:footnote w:type="continuationSeparator" w:id="0">
    <w:p w:rsidR="002F67E0" w:rsidRDefault="002F67E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F5C5B" w:rsidRDefault="002F67E0">
    <w:pPr>
      <w:pStyle w:val="Title"/>
    </w:pPr>
    <w:r>
      <w:rPr>
        <w:noProof/>
        <w:lang w:val="de-DE"/>
      </w:rPr>
      <w:drawing>
        <wp:anchor distT="152400" distB="152400" distL="152400" distR="152400" simplePos="0" relativeHeight="251658240" behindDoc="1" locked="0" layoutInCell="1" allowOverlap="1">
          <wp:simplePos x="0" y="0"/>
          <wp:positionH relativeFrom="page">
            <wp:posOffset>0</wp:posOffset>
          </wp:positionH>
          <wp:positionV relativeFrom="page">
            <wp:posOffset>-21772</wp:posOffset>
          </wp:positionV>
          <wp:extent cx="7593708" cy="859971"/>
          <wp:effectExtent l="0" t="0" r="7620" b="0"/>
          <wp:wrapNone/>
          <wp:docPr id="1073741825" name="officeArt object" descr="Centenary of the First World War – Perspectives"/>
          <wp:cNvGraphicFramePr/>
          <a:graphic xmlns:a="http://schemas.openxmlformats.org/drawingml/2006/main">
            <a:graphicData uri="http://schemas.openxmlformats.org/drawingml/2006/picture">
              <pic:pic xmlns:pic="http://schemas.openxmlformats.org/drawingml/2006/picture">
                <pic:nvPicPr>
                  <pic:cNvPr id="1073741825" name="image2.png"/>
                  <pic:cNvPicPr>
                    <a:picLocks noChangeAspect="1"/>
                  </pic:cNvPicPr>
                </pic:nvPicPr>
                <pic:blipFill>
                  <a:blip r:embed="rId1">
                    <a:extLst/>
                  </a:blip>
                  <a:stretch>
                    <a:fillRect/>
                  </a:stretch>
                </pic:blipFill>
                <pic:spPr>
                  <a:xfrm>
                    <a:off x="0" y="0"/>
                    <a:ext cx="7593708" cy="859971"/>
                  </a:xfrm>
                  <a:prstGeom prst="rect">
                    <a:avLst/>
                  </a:prstGeom>
                  <a:ln w="12700" cap="flat">
                    <a:noFill/>
                    <a:miter lim="400000"/>
                  </a:ln>
                  <a:effectLst/>
                </pic:spPr>
              </pic:pic>
            </a:graphicData>
          </a:graphic>
        </wp:anchor>
      </w:drawing>
    </w:r>
    <w:r>
      <w:rPr>
        <w:noProof/>
        <w:lang w:val="de-DE"/>
      </w:rPr>
      <w:drawing>
        <wp:anchor distT="152400" distB="152400" distL="152400" distR="152400" simplePos="0" relativeHeight="251659264" behindDoc="1" locked="0" layoutInCell="1" allowOverlap="1">
          <wp:simplePos x="0" y="0"/>
          <wp:positionH relativeFrom="page">
            <wp:posOffset>206829</wp:posOffset>
          </wp:positionH>
          <wp:positionV relativeFrom="page">
            <wp:posOffset>152127</wp:posOffset>
          </wp:positionV>
          <wp:extent cx="1774371" cy="547884"/>
          <wp:effectExtent l="0" t="0" r="0" b="5080"/>
          <wp:wrapNone/>
          <wp:docPr id="1073741826" name="officeArt object" descr="NSW Government 100 Years of ANZAC, The Spirit Lives, 2014 - 2018"/>
          <wp:cNvGraphicFramePr/>
          <a:graphic xmlns:a="http://schemas.openxmlformats.org/drawingml/2006/main">
            <a:graphicData uri="http://schemas.openxmlformats.org/drawingml/2006/picture">
              <pic:pic xmlns:pic="http://schemas.openxmlformats.org/drawingml/2006/picture">
                <pic:nvPicPr>
                  <pic:cNvPr id="1073741826" name="image1.png" descr="L:\LS\Learning Systems\Active_Projects\20019_20019_ANZAC_TPL\Production\clipsCustom\content\styles\graphics\anzac100logo.png"/>
                  <pic:cNvPicPr>
                    <a:picLocks noChangeAspect="1"/>
                  </pic:cNvPicPr>
                </pic:nvPicPr>
                <pic:blipFill>
                  <a:blip r:embed="rId2">
                    <a:extLst/>
                  </a:blip>
                  <a:stretch>
                    <a:fillRect/>
                  </a:stretch>
                </pic:blipFill>
                <pic:spPr>
                  <a:xfrm>
                    <a:off x="0" y="0"/>
                    <a:ext cx="1774371" cy="547884"/>
                  </a:xfrm>
                  <a:prstGeom prst="rect">
                    <a:avLst/>
                  </a:prstGeom>
                  <a:ln w="12700" cap="flat">
                    <a:noFill/>
                    <a:miter lim="400000"/>
                  </a:ln>
                  <a:effectLst/>
                </pic:spPr>
              </pic:pic>
            </a:graphicData>
          </a:graphic>
        </wp:anchor>
      </w:drawing>
    </w:r>
    <w:r>
      <w:rPr>
        <w:noProof/>
        <w:lang w:val="de-DE"/>
      </w:rPr>
      <w:drawing>
        <wp:anchor distT="152400" distB="152400" distL="152400" distR="152400" simplePos="0" relativeHeight="251660288" behindDoc="1" locked="0" layoutInCell="1" allowOverlap="1">
          <wp:simplePos x="0" y="0"/>
          <wp:positionH relativeFrom="page">
            <wp:posOffset>6333490</wp:posOffset>
          </wp:positionH>
          <wp:positionV relativeFrom="page">
            <wp:posOffset>9997440</wp:posOffset>
          </wp:positionV>
          <wp:extent cx="577216" cy="196215"/>
          <wp:effectExtent l="0" t="0" r="0" b="0"/>
          <wp:wrapNone/>
          <wp:docPr id="1073741827" name="officeArt object" descr="Neals logo&#10;"/>
          <wp:cNvGraphicFramePr/>
          <a:graphic xmlns:a="http://schemas.openxmlformats.org/drawingml/2006/main">
            <a:graphicData uri="http://schemas.openxmlformats.org/drawingml/2006/picture">
              <pic:pic xmlns:pic="http://schemas.openxmlformats.org/drawingml/2006/picture">
                <pic:nvPicPr>
                  <pic:cNvPr id="1073741827" name="image3.png" descr="L:\LS\Learning Systems\CLIPSOutput\20019_20019_ANZAC_TPL\LOs\TPL_Module_1\styles\graphics\neals.gif&#10;"/>
                  <pic:cNvPicPr>
                    <a:picLocks noChangeAspect="1"/>
                  </pic:cNvPicPr>
                </pic:nvPicPr>
                <pic:blipFill>
                  <a:blip r:embed="rId3">
                    <a:extLst/>
                  </a:blip>
                  <a:stretch>
                    <a:fillRect/>
                  </a:stretch>
                </pic:blipFill>
                <pic:spPr>
                  <a:xfrm>
                    <a:off x="0" y="0"/>
                    <a:ext cx="577216" cy="196215"/>
                  </a:xfrm>
                  <a:prstGeom prst="rect">
                    <a:avLst/>
                  </a:prstGeom>
                  <a:ln w="12700" cap="flat">
                    <a:noFill/>
                    <a:miter lim="400000"/>
                  </a:ln>
                  <a:effectLst/>
                </pic:spPr>
              </pic:pic>
            </a:graphicData>
          </a:graphic>
        </wp:anchor>
      </w:drawing>
    </w:r>
    <w:r>
      <w:t>Centenary of the First World War</w:t>
    </w:r>
  </w:p>
  <w:p w:rsidR="000F5C5B" w:rsidRDefault="002F67E0">
    <w:pPr>
      <w:pStyle w:val="Header"/>
      <w:ind w:left="2127"/>
      <w:rPr>
        <w:color w:val="FFFFFF"/>
        <w:sz w:val="28"/>
        <w:szCs w:val="28"/>
        <w:u w:color="FFFFFF"/>
      </w:rPr>
    </w:pPr>
    <w:r>
      <w:rPr>
        <w:color w:val="FFFFFF"/>
        <w:sz w:val="28"/>
        <w:szCs w:val="28"/>
        <w:u w:color="FFFFFF"/>
      </w:rPr>
      <w:t>Perspectives</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defaultTabStop w:val="720"/>
  <w:hyphenationZone w:val="425"/>
  <w:characterSpacingControl w:val="doNotCompress"/>
  <w:footnotePr>
    <w:footnote w:id="-1"/>
    <w:footnote w:id="0"/>
  </w:footnotePr>
  <w:endnotePr>
    <w:endnote w:id="-1"/>
    <w:endnote w:id="0"/>
  </w:endnotePr>
  <w:compat>
    <w:useFELayout/>
    <w:compatSetting w:name="compatibilityMode" w:uri="http://schemas.microsoft.com/office/word" w:val="14"/>
  </w:compat>
  <w:rsids>
    <w:rsidRoot w:val="000F5C5B"/>
    <w:rsid w:val="000F5C5B"/>
    <w:rsid w:val="001842B1"/>
    <w:rsid w:val="002F67E0"/>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Arial Unicode MS" w:hAnsi="Times New Roman" w:cs="Times New Roman"/>
        <w:bdr w:val="nil"/>
        <w:lang w:val="de-DE" w:eastAsia="de-DE" w:bidi="ar-SA"/>
      </w:rPr>
    </w:rPrDefault>
    <w:pPrDefault>
      <w:pPr>
        <w:pBdr>
          <w:top w:val="nil"/>
          <w:left w:val="nil"/>
          <w:bottom w:val="nil"/>
          <w:right w:val="nil"/>
          <w:between w:val="nil"/>
          <w:bar w:val="nil"/>
        </w:pBdr>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Pr>
      <w:sz w:val="24"/>
      <w:szCs w:val="24"/>
      <w:lang w:val="en-US" w:eastAsia="en-US"/>
    </w:rPr>
  </w:style>
  <w:style w:type="paragraph" w:styleId="Heading1">
    <w:name w:val="heading 1"/>
    <w:basedOn w:val="Heading"/>
    <w:next w:val="Normal"/>
    <w:link w:val="Heading1Char"/>
    <w:uiPriority w:val="9"/>
    <w:qFormat/>
    <w:rsid w:val="001842B1"/>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u w:val="single"/>
    </w:rPr>
  </w:style>
  <w:style w:type="paragraph" w:styleId="Title">
    <w:name w:val="Title"/>
    <w:next w:val="Body"/>
    <w:pPr>
      <w:spacing w:line="276" w:lineRule="auto"/>
      <w:ind w:left="2126"/>
      <w:outlineLvl w:val="0"/>
    </w:pPr>
    <w:rPr>
      <w:rFonts w:ascii="Arial" w:hAnsi="Arial" w:cs="Arial Unicode MS"/>
      <w:color w:val="FFFFFF"/>
      <w:sz w:val="36"/>
      <w:szCs w:val="36"/>
      <w:u w:color="FFFFFF"/>
      <w:lang w:val="en-US"/>
    </w:rPr>
  </w:style>
  <w:style w:type="paragraph" w:customStyle="1" w:styleId="Body">
    <w:name w:val="Body"/>
    <w:pPr>
      <w:spacing w:after="200" w:line="276" w:lineRule="auto"/>
    </w:pPr>
    <w:rPr>
      <w:rFonts w:ascii="Arial" w:hAnsi="Arial" w:cs="Arial Unicode MS"/>
      <w:color w:val="000000"/>
      <w:sz w:val="24"/>
      <w:szCs w:val="24"/>
      <w:u w:color="000000"/>
      <w:lang w:val="en-US"/>
    </w:rPr>
  </w:style>
  <w:style w:type="paragraph" w:styleId="Header">
    <w:name w:val="header"/>
    <w:pPr>
      <w:tabs>
        <w:tab w:val="center" w:pos="4513"/>
        <w:tab w:val="right" w:pos="9026"/>
      </w:tabs>
    </w:pPr>
    <w:rPr>
      <w:rFonts w:ascii="Arial" w:hAnsi="Arial" w:cs="Arial Unicode MS"/>
      <w:color w:val="000000"/>
      <w:sz w:val="24"/>
      <w:szCs w:val="24"/>
      <w:u w:color="000000"/>
      <w:lang w:val="en-US"/>
    </w:rPr>
  </w:style>
  <w:style w:type="paragraph" w:styleId="Footer">
    <w:name w:val="footer"/>
    <w:pPr>
      <w:tabs>
        <w:tab w:val="center" w:pos="4513"/>
        <w:tab w:val="right" w:pos="9026"/>
      </w:tabs>
    </w:pPr>
    <w:rPr>
      <w:rFonts w:ascii="Arial" w:hAnsi="Arial" w:cs="Arial Unicode MS"/>
      <w:color w:val="000000"/>
      <w:sz w:val="24"/>
      <w:szCs w:val="24"/>
      <w:u w:color="000000"/>
      <w:lang w:val="en-US"/>
    </w:rPr>
  </w:style>
  <w:style w:type="paragraph" w:customStyle="1" w:styleId="Heading">
    <w:name w:val="Heading"/>
    <w:next w:val="Body"/>
    <w:pPr>
      <w:spacing w:after="200" w:line="276" w:lineRule="auto"/>
      <w:outlineLvl w:val="0"/>
    </w:pPr>
    <w:rPr>
      <w:rFonts w:ascii="Arial" w:hAnsi="Arial" w:cs="Arial Unicode MS"/>
      <w:color w:val="66767B"/>
      <w:sz w:val="36"/>
      <w:szCs w:val="36"/>
      <w:u w:color="66767B"/>
      <w:lang w:val="en-US"/>
    </w:rPr>
  </w:style>
  <w:style w:type="character" w:customStyle="1" w:styleId="Heading1Char">
    <w:name w:val="Heading 1 Char"/>
    <w:basedOn w:val="DefaultParagraphFont"/>
    <w:link w:val="Heading1"/>
    <w:uiPriority w:val="9"/>
    <w:rsid w:val="001842B1"/>
    <w:rPr>
      <w:rFonts w:ascii="Arial" w:hAnsi="Arial" w:cs="Arial Unicode MS"/>
      <w:b/>
      <w:bCs/>
      <w:color w:val="66767B"/>
      <w:sz w:val="36"/>
      <w:szCs w:val="36"/>
      <w:u w:color="66767B"/>
      <w:lang w:val="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Arial Unicode MS" w:hAnsi="Times New Roman" w:cs="Times New Roman"/>
        <w:bdr w:val="nil"/>
        <w:lang w:val="de-DE" w:eastAsia="de-DE" w:bidi="ar-SA"/>
      </w:rPr>
    </w:rPrDefault>
    <w:pPrDefault>
      <w:pPr>
        <w:pBdr>
          <w:top w:val="nil"/>
          <w:left w:val="nil"/>
          <w:bottom w:val="nil"/>
          <w:right w:val="nil"/>
          <w:between w:val="nil"/>
          <w:bar w:val="nil"/>
        </w:pBdr>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Pr>
      <w:sz w:val="24"/>
      <w:szCs w:val="24"/>
      <w:lang w:val="en-US" w:eastAsia="en-US"/>
    </w:rPr>
  </w:style>
  <w:style w:type="paragraph" w:styleId="Heading1">
    <w:name w:val="heading 1"/>
    <w:basedOn w:val="Heading"/>
    <w:next w:val="Normal"/>
    <w:link w:val="Heading1Char"/>
    <w:uiPriority w:val="9"/>
    <w:qFormat/>
    <w:rsid w:val="001842B1"/>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u w:val="single"/>
    </w:rPr>
  </w:style>
  <w:style w:type="paragraph" w:styleId="Title">
    <w:name w:val="Title"/>
    <w:next w:val="Body"/>
    <w:pPr>
      <w:spacing w:line="276" w:lineRule="auto"/>
      <w:ind w:left="2126"/>
      <w:outlineLvl w:val="0"/>
    </w:pPr>
    <w:rPr>
      <w:rFonts w:ascii="Arial" w:hAnsi="Arial" w:cs="Arial Unicode MS"/>
      <w:color w:val="FFFFFF"/>
      <w:sz w:val="36"/>
      <w:szCs w:val="36"/>
      <w:u w:color="FFFFFF"/>
      <w:lang w:val="en-US"/>
    </w:rPr>
  </w:style>
  <w:style w:type="paragraph" w:customStyle="1" w:styleId="Body">
    <w:name w:val="Body"/>
    <w:pPr>
      <w:spacing w:after="200" w:line="276" w:lineRule="auto"/>
    </w:pPr>
    <w:rPr>
      <w:rFonts w:ascii="Arial" w:hAnsi="Arial" w:cs="Arial Unicode MS"/>
      <w:color w:val="000000"/>
      <w:sz w:val="24"/>
      <w:szCs w:val="24"/>
      <w:u w:color="000000"/>
      <w:lang w:val="en-US"/>
    </w:rPr>
  </w:style>
  <w:style w:type="paragraph" w:styleId="Header">
    <w:name w:val="header"/>
    <w:pPr>
      <w:tabs>
        <w:tab w:val="center" w:pos="4513"/>
        <w:tab w:val="right" w:pos="9026"/>
      </w:tabs>
    </w:pPr>
    <w:rPr>
      <w:rFonts w:ascii="Arial" w:hAnsi="Arial" w:cs="Arial Unicode MS"/>
      <w:color w:val="000000"/>
      <w:sz w:val="24"/>
      <w:szCs w:val="24"/>
      <w:u w:color="000000"/>
      <w:lang w:val="en-US"/>
    </w:rPr>
  </w:style>
  <w:style w:type="paragraph" w:styleId="Footer">
    <w:name w:val="footer"/>
    <w:pPr>
      <w:tabs>
        <w:tab w:val="center" w:pos="4513"/>
        <w:tab w:val="right" w:pos="9026"/>
      </w:tabs>
    </w:pPr>
    <w:rPr>
      <w:rFonts w:ascii="Arial" w:hAnsi="Arial" w:cs="Arial Unicode MS"/>
      <w:color w:val="000000"/>
      <w:sz w:val="24"/>
      <w:szCs w:val="24"/>
      <w:u w:color="000000"/>
      <w:lang w:val="en-US"/>
    </w:rPr>
  </w:style>
  <w:style w:type="paragraph" w:customStyle="1" w:styleId="Heading">
    <w:name w:val="Heading"/>
    <w:next w:val="Body"/>
    <w:pPr>
      <w:spacing w:after="200" w:line="276" w:lineRule="auto"/>
      <w:outlineLvl w:val="0"/>
    </w:pPr>
    <w:rPr>
      <w:rFonts w:ascii="Arial" w:hAnsi="Arial" w:cs="Arial Unicode MS"/>
      <w:color w:val="66767B"/>
      <w:sz w:val="36"/>
      <w:szCs w:val="36"/>
      <w:u w:color="66767B"/>
      <w:lang w:val="en-US"/>
    </w:rPr>
  </w:style>
  <w:style w:type="character" w:customStyle="1" w:styleId="Heading1Char">
    <w:name w:val="Heading 1 Char"/>
    <w:basedOn w:val="DefaultParagraphFont"/>
    <w:link w:val="Heading1"/>
    <w:uiPriority w:val="9"/>
    <w:rsid w:val="001842B1"/>
    <w:rPr>
      <w:rFonts w:ascii="Arial" w:hAnsi="Arial" w:cs="Arial Unicode MS"/>
      <w:b/>
      <w:bCs/>
      <w:color w:val="66767B"/>
      <w:sz w:val="36"/>
      <w:szCs w:val="36"/>
      <w:u w:color="66767B"/>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Theme">
      <a:dk1>
        <a:srgbClr val="000000"/>
      </a:dk1>
      <a:lt1>
        <a:srgbClr val="FFFFFF"/>
      </a:lt1>
      <a:dk2>
        <a:srgbClr val="A7A7A7"/>
      </a:dk2>
      <a:lt2>
        <a:srgbClr val="535353"/>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FF00FF"/>
      </a:folHlink>
    </a:clrScheme>
    <a:fontScheme name="Office Theme">
      <a:majorFont>
        <a:latin typeface="Arial"/>
        <a:ea typeface="Arial"/>
        <a:cs typeface="Arial"/>
      </a:majorFont>
      <a:minorFont>
        <a:latin typeface="Helvetica"/>
        <a:ea typeface="Helvetica"/>
        <a:cs typeface="Helvetica"/>
      </a:minorFont>
    </a:fontScheme>
    <a:fmtScheme name="Office Them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38100" dist="23000" dir="5400000" rotWithShape="0">
              <a:srgbClr val="000000">
                <a:alpha val="35000"/>
              </a:srgbClr>
            </a:outerShdw>
          </a:effectLst>
        </a:effectStyle>
        <a:effectStyle>
          <a:effectLst>
            <a:outerShdw blurRad="38100" dist="23000" dir="5400000" rotWithShape="0">
              <a:srgbClr val="000000">
                <a:alpha val="35000"/>
              </a:srgbClr>
            </a:outerShdw>
          </a:effectLst>
        </a:effectStyle>
        <a:effectStyle>
          <a:effectLst>
            <a:outerShdw blurRad="38100" dist="20000" dir="5400000" rotWithShape="0">
              <a:srgbClr val="000000">
                <a:alpha val="38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25400" cap="flat">
          <a:solidFill>
            <a:schemeClr val="accent1"/>
          </a:solidFill>
          <a:prstDash val="solid"/>
          <a:round/>
        </a:ln>
        <a:effectLst>
          <a:outerShdw blurRad="38100" dist="23000" dir="5400000" rotWithShape="0">
            <a:srgbClr val="000000">
              <a:alpha val="35000"/>
            </a:srgbClr>
          </a:outerShdw>
        </a:effectLst>
        <a:sp3d/>
      </a:spPr>
      <a:bodyPr rot="0" spcFirstLastPara="1" vertOverflow="overflow" horzOverflow="overflow" vert="horz" wrap="square" lIns="45719" tIns="45719" rIns="45719" bIns="45719" numCol="1" spcCol="38100" rtlCol="0" anchor="ctr">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25400" cap="flat">
          <a:solidFill>
            <a:schemeClr val="accent1"/>
          </a:solidFill>
          <a:prstDash val="solid"/>
          <a:round/>
        </a:ln>
        <a:effectLst>
          <a:outerShdw blurRad="38100" dist="20000" dir="5400000" rotWithShape="0">
            <a:srgbClr val="000000">
              <a:alpha val="38000"/>
            </a:srgbClr>
          </a:outerShdw>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45719" tIns="45719" rIns="45719" bIns="45719"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291</Words>
  <Characters>1572</Characters>
  <Application>Microsoft Office Word</Application>
  <DocSecurity>0</DocSecurity>
  <Lines>24</Lines>
  <Paragraphs>6</Paragraphs>
  <ScaleCrop>false</ScaleCrop>
  <HeadingPairs>
    <vt:vector size="2" baseType="variant">
      <vt:variant>
        <vt:lpstr>Title</vt:lpstr>
      </vt:variant>
      <vt:variant>
        <vt:i4>1</vt:i4>
      </vt:variant>
    </vt:vector>
  </HeadingPairs>
  <TitlesOfParts>
    <vt:vector size="1" baseType="lpstr">
      <vt:lpstr/>
    </vt:vector>
  </TitlesOfParts>
  <Company>NSW, Department of Education and Training</Company>
  <LinksUpToDate>false</LinksUpToDate>
  <CharactersWithSpaces>1859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Gallipoli and the Western Front – Centenary of the First World War – Perspectives</dc:title>
  <cp:lastModifiedBy>Tromboukis, Martha</cp:lastModifiedBy>
  <cp:revision>3</cp:revision>
  <dcterms:created xsi:type="dcterms:W3CDTF">2016-10-13T23:05:00Z</dcterms:created>
  <dcterms:modified xsi:type="dcterms:W3CDTF">2016-10-13T23:06:00Z</dcterms:modified>
</cp:coreProperties>
</file>