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3B" w:rsidRDefault="00342638" w:rsidP="006D250B">
      <w:pPr>
        <w:pStyle w:val="Heading1"/>
      </w:pPr>
      <w:r>
        <w:t xml:space="preserve">Bad news </w:t>
      </w:r>
      <w:r w:rsidRPr="006D250B">
        <w:t>for</w:t>
      </w:r>
      <w:r>
        <w:t xml:space="preserve"> Bean</w:t>
      </w:r>
    </w:p>
    <w:p w:rsidR="00C8693B" w:rsidRDefault="00342638">
      <w:pPr>
        <w:pStyle w:val="Body"/>
      </w:pPr>
      <w:r>
        <w:t xml:space="preserve">Bean received news from the </w:t>
      </w:r>
      <w:proofErr w:type="spellStart"/>
      <w:r>
        <w:t>Defence</w:t>
      </w:r>
      <w:proofErr w:type="spellEnd"/>
      <w:r>
        <w:t xml:space="preserve"> Department in Melbourne that must have been devastating for him to hear: the proprietors of </w:t>
      </w:r>
      <w:r>
        <w:rPr>
          <w:i/>
          <w:iCs/>
        </w:rPr>
        <w:t xml:space="preserve">The Argus </w:t>
      </w:r>
      <w:r>
        <w:t>and</w:t>
      </w:r>
      <w:r>
        <w:rPr>
          <w:i/>
          <w:iCs/>
        </w:rPr>
        <w:t xml:space="preserve"> The Age</w:t>
      </w:r>
      <w:r>
        <w:t xml:space="preserve"> newspapers had decided to stop using his news stories because they were of 'insufficient interest to them'. It was a slap in the face for the official correspondent, and he angrily </w:t>
      </w:r>
      <w:proofErr w:type="spellStart"/>
      <w:r>
        <w:t>rationalised</w:t>
      </w:r>
      <w:proofErr w:type="spellEnd"/>
      <w:r>
        <w:t xml:space="preserve"> that the two newspapers would probably be happier taking stor</w:t>
      </w:r>
      <w:r>
        <w:t>ies from correspondents based out of Cairo because their reports, unhindered by the stringent censorship rules, would arrive in Australia a lot earlier... Yet most of the Reuters stories, he said, were 'wild sensational inventions'... whereas he 'risked my</w:t>
      </w:r>
      <w:r>
        <w:t xml:space="preserve"> life hundreds of times over on the spot itself in order that they may know that every word is as true as it can be.'</w:t>
      </w:r>
    </w:p>
    <w:p w:rsidR="00C8693B" w:rsidRDefault="00342638">
      <w:pPr>
        <w:pStyle w:val="Body"/>
      </w:pPr>
      <w:proofErr w:type="spellStart"/>
      <w:r>
        <w:t>Coulthart</w:t>
      </w:r>
      <w:proofErr w:type="spellEnd"/>
      <w:r>
        <w:t xml:space="preserve"> R (2014), </w:t>
      </w:r>
      <w:r>
        <w:rPr>
          <w:i/>
          <w:iCs/>
        </w:rPr>
        <w:t>Charles Bean</w:t>
      </w:r>
      <w:r>
        <w:t>, Harper Collins, Sydney, p.95</w:t>
      </w:r>
    </w:p>
    <w:sectPr w:rsidR="00C8693B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638" w:rsidRDefault="00342638">
      <w:r>
        <w:separator/>
      </w:r>
    </w:p>
  </w:endnote>
  <w:endnote w:type="continuationSeparator" w:id="0">
    <w:p w:rsidR="00342638" w:rsidRDefault="0034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3B" w:rsidRDefault="00342638">
    <w:pPr>
      <w:pStyle w:val="Footer"/>
    </w:pPr>
    <w:r>
      <w:t xml:space="preserve">© State of NSW, </w:t>
    </w:r>
    <w:r w:rsidR="006D250B" w:rsidRPr="006D250B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638" w:rsidRDefault="00342638">
      <w:r>
        <w:separator/>
      </w:r>
    </w:p>
  </w:footnote>
  <w:footnote w:type="continuationSeparator" w:id="0">
    <w:p w:rsidR="00342638" w:rsidRDefault="0034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93B" w:rsidRDefault="00342638">
    <w:pPr>
      <w:pStyle w:val="Title"/>
    </w:pPr>
    <w:r>
      <w:rPr>
        <w:noProof/>
        <w:lang w:val="de-DE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Start w:id="0" w:name="_GoBack"/>
    <w:r>
      <w:rPr>
        <w:noProof/>
        <w:lang w:val="de-DE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bookmarkEnd w:id="0"/>
    <w:r>
      <w:rPr>
        <w:noProof/>
        <w:lang w:val="de-DE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</w:t>
    </w:r>
    <w:r>
      <w:t>ntenary of the First World War</w:t>
    </w:r>
  </w:p>
  <w:p w:rsidR="00C8693B" w:rsidRDefault="00342638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8693B"/>
    <w:rsid w:val="00342638"/>
    <w:rsid w:val="006D250B"/>
    <w:rsid w:val="00C8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6D250B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250B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6D250B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D250B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news for Bean – Centenary of the First World War – Perspectives</dc:title>
  <cp:lastModifiedBy>Tromboukis, Martha</cp:lastModifiedBy>
  <cp:revision>3</cp:revision>
  <dcterms:created xsi:type="dcterms:W3CDTF">2016-10-13T23:03:00Z</dcterms:created>
  <dcterms:modified xsi:type="dcterms:W3CDTF">2016-10-13T23:04:00Z</dcterms:modified>
</cp:coreProperties>
</file>