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45" w:rsidRDefault="00AA46E7" w:rsidP="00252F75">
      <w:pPr>
        <w:pStyle w:val="Heading1"/>
      </w:pPr>
      <w:r>
        <w:t xml:space="preserve">Two accounts of the </w:t>
      </w:r>
      <w:r w:rsidRPr="00252F75">
        <w:t>same</w:t>
      </w:r>
      <w:r w:rsidR="00252F75">
        <w:t xml:space="preserve"> incident</w:t>
      </w:r>
    </w:p>
    <w:p w:rsidR="00565545" w:rsidRDefault="00AA46E7">
      <w:pPr>
        <w:pStyle w:val="Body"/>
        <w:widowControl w:val="0"/>
        <w:spacing w:line="300" w:lineRule="auto"/>
      </w:pPr>
      <w:r>
        <w:t xml:space="preserve">Then the Brigadier (James </w:t>
      </w:r>
      <w:proofErr w:type="spellStart"/>
      <w:r>
        <w:t>McCay</w:t>
      </w:r>
      <w:proofErr w:type="spellEnd"/>
      <w:r>
        <w:t xml:space="preserve">) who had so far led the charge himself jumped up on </w:t>
      </w:r>
      <w:proofErr w:type="gramStart"/>
      <w:r>
        <w:t>the</w:t>
      </w:r>
      <w:proofErr w:type="gramEnd"/>
      <w:r>
        <w:t xml:space="preserve"> parapet. 'Now then, On Australians', he said waving his periscope… The men gathered themselves up and shouting 'On Australians, Come on Australians' they swept over that parapet like a whirlwind and out across the deadly plateau. A perfect storm of bullets met them.</w:t>
      </w:r>
      <w:r w:rsidR="001861E2">
        <w:t xml:space="preserve">  (</w:t>
      </w:r>
      <w:r>
        <w:t>Extract from a Charles Bean story found in</w:t>
      </w:r>
      <w:r w:rsidR="001861E2">
        <w:t xml:space="preserve"> the Sydney Morning Herald</w:t>
      </w:r>
      <w:r>
        <w:t>, 28 May 1915</w:t>
      </w:r>
      <w:r w:rsidR="001861E2">
        <w:t>)</w:t>
      </w:r>
    </w:p>
    <w:p w:rsidR="00565545" w:rsidRDefault="00AA46E7" w:rsidP="001861E2">
      <w:pPr>
        <w:pStyle w:val="Body"/>
        <w:widowControl w:val="0"/>
        <w:spacing w:line="300" w:lineRule="auto"/>
      </w:pPr>
      <w:r>
        <w:t xml:space="preserve">I saw him with his revolver in is hands. He had just been talking to some chap in the trench some 10 yards to my left. I heard afterwards it was a Sergeant and </w:t>
      </w:r>
      <w:proofErr w:type="spellStart"/>
      <w:r>
        <w:t>McCay</w:t>
      </w:r>
      <w:proofErr w:type="spellEnd"/>
      <w:r>
        <w:t xml:space="preserve"> threatened to shoot him if you didn't get out damned quick. </w:t>
      </w:r>
      <w:r w:rsidR="001861E2">
        <w:t xml:space="preserve"> (</w:t>
      </w:r>
      <w:r>
        <w:t xml:space="preserve">Diary of Bean C found in </w:t>
      </w:r>
      <w:proofErr w:type="spellStart"/>
      <w:r>
        <w:t>Coulthart</w:t>
      </w:r>
      <w:proofErr w:type="spellEnd"/>
      <w:r>
        <w:t xml:space="preserve"> R (2014), </w:t>
      </w:r>
      <w:r>
        <w:rPr>
          <w:i/>
          <w:iCs/>
        </w:rPr>
        <w:t>Charles Bean</w:t>
      </w:r>
      <w:r>
        <w:t>, Harper Collins, Sydne</w:t>
      </w:r>
      <w:bookmarkStart w:id="0" w:name="_GoBack"/>
      <w:bookmarkEnd w:id="0"/>
      <w:r>
        <w:t>y, p.109</w:t>
      </w:r>
      <w:r w:rsidR="001861E2">
        <w:t>)</w:t>
      </w:r>
    </w:p>
    <w:sectPr w:rsidR="00565545">
      <w:headerReference w:type="default" r:id="rId7"/>
      <w:footerReference w:type="default" r:id="rId8"/>
      <w:pgSz w:w="11900" w:h="16840"/>
      <w:pgMar w:top="1560" w:right="1133" w:bottom="1440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E7" w:rsidRDefault="00AA46E7">
      <w:r>
        <w:separator/>
      </w:r>
    </w:p>
  </w:endnote>
  <w:endnote w:type="continuationSeparator" w:id="0">
    <w:p w:rsidR="00AA46E7" w:rsidRDefault="00AA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45" w:rsidRDefault="00AA46E7">
    <w:pPr>
      <w:pStyle w:val="Footer"/>
    </w:pPr>
    <w:r>
      <w:t xml:space="preserve">© State of NSW, </w:t>
    </w:r>
    <w:r w:rsidR="00252F75" w:rsidRPr="00252F75">
      <w:t>Department of Education,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E7" w:rsidRDefault="00AA46E7">
      <w:r>
        <w:separator/>
      </w:r>
    </w:p>
  </w:footnote>
  <w:footnote w:type="continuationSeparator" w:id="0">
    <w:p w:rsidR="00AA46E7" w:rsidRDefault="00AA4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45" w:rsidRDefault="00AA46E7">
    <w:pPr>
      <w:pStyle w:val="Title"/>
    </w:pPr>
    <w:r>
      <w:rPr>
        <w:noProof/>
        <w:lang w:val="en-AU" w:eastAsia="en-AU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-21772</wp:posOffset>
          </wp:positionV>
          <wp:extent cx="7593708" cy="859971"/>
          <wp:effectExtent l="0" t="0" r="7620" b="0"/>
          <wp:wrapNone/>
          <wp:docPr id="1073741825" name="officeArt object" descr="Centenary of the First World War – Perspectiv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708" cy="8599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206829</wp:posOffset>
          </wp:positionH>
          <wp:positionV relativeFrom="page">
            <wp:posOffset>152127</wp:posOffset>
          </wp:positionV>
          <wp:extent cx="1774371" cy="547884"/>
          <wp:effectExtent l="0" t="0" r="0" b="5080"/>
          <wp:wrapNone/>
          <wp:docPr id="1073741826" name="officeArt object" descr="&#10;NSW Government 100 Years of ANZAC, The Spirit Lives, 2014 - 2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L:\LS\Learning Systems\Active_Projects\20019_20019_ANZAC_TPL\Production\clipsCustom\content\styles\graphics\anzac100logo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371" cy="54788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6333490</wp:posOffset>
          </wp:positionH>
          <wp:positionV relativeFrom="page">
            <wp:posOffset>9997440</wp:posOffset>
          </wp:positionV>
          <wp:extent cx="577216" cy="196215"/>
          <wp:effectExtent l="0" t="0" r="0" b="0"/>
          <wp:wrapNone/>
          <wp:docPr id="1073741827" name="officeArt object" descr="Neals logo&#10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L:\LS\Learning Systems\CLIPSOutput\20019_20019_ANZAC_TPL\LOs\TPL_Module_1\styles\graphics\neals.gif&#10;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216" cy="196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>Centenary of the First World War</w:t>
    </w:r>
  </w:p>
  <w:p w:rsidR="00565545" w:rsidRDefault="00AA46E7">
    <w:pPr>
      <w:pStyle w:val="Header"/>
      <w:ind w:left="2127"/>
      <w:rPr>
        <w:color w:val="FFFFFF"/>
        <w:sz w:val="28"/>
        <w:szCs w:val="28"/>
        <w:u w:color="FFFFFF"/>
      </w:rPr>
    </w:pPr>
    <w:r>
      <w:rPr>
        <w:color w:val="FFFFFF"/>
        <w:sz w:val="28"/>
        <w:szCs w:val="28"/>
        <w:u w:color="FFFFFF"/>
      </w:rPr>
      <w:t>Perspectives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65545"/>
    <w:rsid w:val="001861E2"/>
    <w:rsid w:val="00252F75"/>
    <w:rsid w:val="00565545"/>
    <w:rsid w:val="00AA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252F75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252F75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Heading"/>
    <w:next w:val="Normal"/>
    <w:link w:val="Heading1Char"/>
    <w:uiPriority w:val="9"/>
    <w:qFormat/>
    <w:rsid w:val="00252F75"/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spacing w:line="276" w:lineRule="auto"/>
      <w:ind w:left="2126"/>
      <w:outlineLvl w:val="0"/>
    </w:pPr>
    <w:rPr>
      <w:rFonts w:ascii="Arial" w:hAnsi="Arial" w:cs="Arial Unicode MS"/>
      <w:color w:val="FFFFFF"/>
      <w:sz w:val="36"/>
      <w:szCs w:val="36"/>
      <w:u w:color="FFFFFF"/>
      <w:lang w:val="en-US"/>
    </w:rPr>
  </w:style>
  <w:style w:type="paragraph" w:customStyle="1" w:styleId="Body">
    <w:name w:val="Body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customStyle="1" w:styleId="Heading">
    <w:name w:val="Heading"/>
    <w:next w:val="Body"/>
    <w:pPr>
      <w:spacing w:after="200" w:line="276" w:lineRule="auto"/>
      <w:outlineLvl w:val="0"/>
    </w:pPr>
    <w:rPr>
      <w:rFonts w:ascii="Arial" w:hAnsi="Arial" w:cs="Arial Unicode MS"/>
      <w:color w:val="66767B"/>
      <w:sz w:val="36"/>
      <w:szCs w:val="36"/>
      <w:u w:color="66767B"/>
      <w:lang w:val="en-US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"/>
    <w:rsid w:val="00252F75"/>
    <w:rPr>
      <w:rFonts w:ascii="Arial" w:hAnsi="Arial" w:cs="Arial Unicode MS"/>
      <w:b/>
      <w:bCs/>
      <w:color w:val="66767B"/>
      <w:sz w:val="36"/>
      <w:szCs w:val="36"/>
      <w:u w:color="66767B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648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 accounts of the same incident – Centenary of the First World War – Perspectives</vt:lpstr>
    </vt:vector>
  </TitlesOfParts>
  <Company>NSW, Department of Education and Training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accounts of the same incident – Centenary of the First World War – Perspectives</dc:title>
  <cp:lastModifiedBy>Rattey, Ann</cp:lastModifiedBy>
  <cp:revision>5</cp:revision>
  <dcterms:created xsi:type="dcterms:W3CDTF">2016-10-13T22:59:00Z</dcterms:created>
  <dcterms:modified xsi:type="dcterms:W3CDTF">2016-10-26T04:51:00Z</dcterms:modified>
</cp:coreProperties>
</file>