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D1BB" w14:textId="27DB54F4" w:rsidR="000B414C" w:rsidRPr="0084745C" w:rsidRDefault="001C0131" w:rsidP="00F43DBA">
      <w:pPr>
        <w:pStyle w:val="DoEheading12018"/>
      </w:pPr>
      <w:bookmarkStart w:id="0" w:name="_GoBack"/>
      <w:bookmarkEnd w:id="0"/>
      <w:r>
        <w:rPr>
          <w:noProof/>
          <w:lang w:eastAsia="zh-CN"/>
        </w:rPr>
        <w:drawing>
          <wp:inline distT="0" distB="0" distL="0" distR="0" wp14:anchorId="428EAC16" wp14:editId="766CA60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F43DBA">
        <w:tab/>
      </w:r>
      <w:r w:rsidR="00F43DBA">
        <w:tab/>
        <w:t>Work Education 7-10</w:t>
      </w:r>
    </w:p>
    <w:p w14:paraId="1DF0EA99" w14:textId="796D2DBD" w:rsidR="0070532E" w:rsidRPr="00BF362A" w:rsidRDefault="004D5D6D" w:rsidP="00361D3C">
      <w:pPr>
        <w:pStyle w:val="DoEheading22018"/>
      </w:pPr>
      <w:r w:rsidRPr="00BF362A">
        <w:t>About the syllabus</w:t>
      </w:r>
    </w:p>
    <w:p w14:paraId="71F041B5" w14:textId="77777777" w:rsidR="00E918BD" w:rsidRPr="00CC1245" w:rsidRDefault="003037AE" w:rsidP="00CC1245">
      <w:pPr>
        <w:pStyle w:val="DoEbodytext2018"/>
      </w:pPr>
      <w:r w:rsidRPr="00CC1245">
        <w:t>This syllabus provides students with an opportunity to develop knowledge and understanding of the world of work</w:t>
      </w:r>
      <w:r w:rsidR="00306BE9" w:rsidRPr="00CC1245">
        <w:t>,</w:t>
      </w:r>
      <w:r w:rsidRPr="00CC1245">
        <w:t xml:space="preserve"> (its dynamic nature, how and why it may change and what this means for their future), the diverse groups within the community, and the roles of education, employment and training.</w:t>
      </w:r>
      <w:r w:rsidR="00E918BD" w:rsidRPr="00CC1245">
        <w:t xml:space="preserve"> </w:t>
      </w:r>
    </w:p>
    <w:p w14:paraId="5B1927DC" w14:textId="11BF4615" w:rsidR="00E918BD" w:rsidRPr="00CC1245" w:rsidRDefault="00E918BD" w:rsidP="00CC1245">
      <w:pPr>
        <w:pStyle w:val="DoEbodytext2018"/>
      </w:pPr>
      <w:r w:rsidRPr="00CC1245">
        <w:t xml:space="preserve">The diverse needs of all students is taken into account. Essential knowledge, understanding, skills, values and attitudes are identified. Clear standards of student expectations of knowledge is outlined and structures and processes by which teachers can provide continuity of study for all students. </w:t>
      </w:r>
    </w:p>
    <w:p w14:paraId="30E53BC7" w14:textId="2A424C9D" w:rsidR="00306BE9" w:rsidRPr="00CC1245" w:rsidRDefault="00306BE9" w:rsidP="00CC1245">
      <w:pPr>
        <w:pStyle w:val="DoEbodytext2018"/>
      </w:pPr>
      <w:r w:rsidRPr="00CC1245">
        <w:t xml:space="preserve">Through student study of Work Education, students prepare for the working world by developing understanding of themselves in relation to work, recognising their aspirations, their rights and responsibilities as workers, employer expectations and the diversity of work opportunities. </w:t>
      </w:r>
    </w:p>
    <w:p w14:paraId="023EEFFE" w14:textId="3427F9BA" w:rsidR="00F45713" w:rsidRPr="00CC1245" w:rsidRDefault="00306BE9" w:rsidP="00CC1245">
      <w:pPr>
        <w:pStyle w:val="DoEbodytext2018"/>
      </w:pPr>
      <w:r w:rsidRPr="00CC1245">
        <w:t>Developing s</w:t>
      </w:r>
      <w:r w:rsidR="00D71177" w:rsidRPr="00CC1245">
        <w:t>elf-</w:t>
      </w:r>
      <w:r w:rsidRPr="00CC1245">
        <w:t>evaluation, goal setting and decision making skills</w:t>
      </w:r>
      <w:r w:rsidR="00220C48" w:rsidRPr="00CC1245">
        <w:t>,</w:t>
      </w:r>
      <w:r w:rsidRPr="00CC1245">
        <w:t xml:space="preserve"> allows students to develop employability skills and the capacity to prepare and adapt to multiple </w:t>
      </w:r>
      <w:r w:rsidR="00D71177" w:rsidRPr="00CC1245">
        <w:t>transitions</w:t>
      </w:r>
      <w:r w:rsidR="003B6B38" w:rsidRPr="00CC1245">
        <w:t xml:space="preserve"> throughout their lives including post</w:t>
      </w:r>
      <w:r w:rsidR="008275D5" w:rsidRPr="00CC1245">
        <w:t xml:space="preserve"> - school pathways.</w:t>
      </w:r>
    </w:p>
    <w:p w14:paraId="058E252B" w14:textId="0B708B43" w:rsidR="004D5D6D" w:rsidRPr="002A107B" w:rsidRDefault="004D5D6D" w:rsidP="00CC1245">
      <w:pPr>
        <w:pStyle w:val="DoEheading22018"/>
      </w:pPr>
      <w:r w:rsidRPr="002A107B">
        <w:t>Key content</w:t>
      </w:r>
    </w:p>
    <w:tbl>
      <w:tblPr>
        <w:tblStyle w:val="TableGrid"/>
        <w:tblW w:w="0" w:type="auto"/>
        <w:tblLook w:val="04A0" w:firstRow="1" w:lastRow="0" w:firstColumn="1" w:lastColumn="0" w:noHBand="0" w:noVBand="1"/>
        <w:tblCaption w:val="Key content"/>
      </w:tblPr>
      <w:tblGrid>
        <w:gridCol w:w="4814"/>
        <w:gridCol w:w="4814"/>
      </w:tblGrid>
      <w:tr w:rsidR="004D5D6D" w14:paraId="03136730" w14:textId="77777777" w:rsidTr="00275D22">
        <w:trPr>
          <w:cantSplit/>
          <w:tblHeader/>
        </w:trPr>
        <w:tc>
          <w:tcPr>
            <w:tcW w:w="4814" w:type="dxa"/>
            <w:shd w:val="clear" w:color="auto" w:fill="D9D9D9" w:themeFill="background1" w:themeFillShade="D9"/>
          </w:tcPr>
          <w:p w14:paraId="3934889C" w14:textId="666ACBF5" w:rsidR="004D5D6D" w:rsidRPr="00505FF2" w:rsidRDefault="00E918BD" w:rsidP="002F3ECF">
            <w:pPr>
              <w:pStyle w:val="DoEtableheading2018"/>
            </w:pPr>
            <w:r>
              <w:t xml:space="preserve">Stage 4  </w:t>
            </w:r>
          </w:p>
        </w:tc>
        <w:tc>
          <w:tcPr>
            <w:tcW w:w="4814" w:type="dxa"/>
            <w:shd w:val="clear" w:color="auto" w:fill="D9D9D9" w:themeFill="background1" w:themeFillShade="D9"/>
          </w:tcPr>
          <w:p w14:paraId="2F69A609" w14:textId="27765068" w:rsidR="004D5D6D" w:rsidRPr="00505FF2" w:rsidRDefault="00E918BD" w:rsidP="002F3ECF">
            <w:pPr>
              <w:pStyle w:val="DoEtableheading2018"/>
            </w:pPr>
            <w:r>
              <w:t xml:space="preserve">Stage 5 </w:t>
            </w:r>
          </w:p>
        </w:tc>
      </w:tr>
      <w:tr w:rsidR="002F3ECF" w14:paraId="151587DF" w14:textId="77777777" w:rsidTr="008431D7">
        <w:tc>
          <w:tcPr>
            <w:tcW w:w="4814" w:type="dxa"/>
          </w:tcPr>
          <w:p w14:paraId="0100D5F3" w14:textId="404817CD" w:rsidR="002F3ECF" w:rsidRDefault="002F3ECF" w:rsidP="00244CC0">
            <w:pPr>
              <w:pStyle w:val="DoEtabletext2018"/>
            </w:pPr>
            <w:r>
              <w:t>Student outcomes –knowledge and understanding</w:t>
            </w:r>
          </w:p>
        </w:tc>
        <w:tc>
          <w:tcPr>
            <w:tcW w:w="4814" w:type="dxa"/>
          </w:tcPr>
          <w:p w14:paraId="181C69DA" w14:textId="5AFF0653" w:rsidR="002F3ECF" w:rsidRDefault="002F3ECF" w:rsidP="002032D1">
            <w:pPr>
              <w:pStyle w:val="DoEtabletext2018"/>
            </w:pPr>
            <w:r>
              <w:t>Student outcomes –knowledge and understanding</w:t>
            </w:r>
          </w:p>
        </w:tc>
      </w:tr>
      <w:tr w:rsidR="004D5D6D" w14:paraId="675C51FE" w14:textId="77777777" w:rsidTr="008431D7">
        <w:tc>
          <w:tcPr>
            <w:tcW w:w="4814" w:type="dxa"/>
          </w:tcPr>
          <w:p w14:paraId="2BB5A08B" w14:textId="2DBBC7A7" w:rsidR="00E918BD" w:rsidRPr="00244CC0" w:rsidRDefault="00E918BD" w:rsidP="004D5D6D">
            <w:pPr>
              <w:pStyle w:val="DoEtabletext2018"/>
            </w:pPr>
            <w:r w:rsidRPr="00244CC0">
              <w:t xml:space="preserve">The world of work </w:t>
            </w:r>
          </w:p>
          <w:p w14:paraId="5F118486" w14:textId="12B1F693" w:rsidR="004D5D6D" w:rsidRDefault="00A86F51" w:rsidP="004D5D6D">
            <w:pPr>
              <w:pStyle w:val="DoEtabletext2018"/>
            </w:pPr>
            <w:r w:rsidRPr="00F00F70">
              <w:rPr>
                <w:rStyle w:val="DoEstrongemphasis2018"/>
              </w:rPr>
              <w:t>WE</w:t>
            </w:r>
            <w:r w:rsidR="00E918BD" w:rsidRPr="00F00F70">
              <w:rPr>
                <w:rStyle w:val="DoEstrongemphasis2018"/>
              </w:rPr>
              <w:t>4 -1</w:t>
            </w:r>
            <w:r w:rsidR="00E918BD">
              <w:t xml:space="preserve"> describes different types of work and </w:t>
            </w:r>
            <w:r w:rsidR="002F3ECF">
              <w:t xml:space="preserve">                        </w:t>
            </w:r>
            <w:r w:rsidR="00E918BD">
              <w:t>employment options</w:t>
            </w:r>
          </w:p>
          <w:p w14:paraId="1A6A4D98" w14:textId="0677B4BB" w:rsidR="00E918BD" w:rsidRPr="00054AEA" w:rsidRDefault="00E918BD" w:rsidP="004D5D6D">
            <w:pPr>
              <w:pStyle w:val="DoEtabletext2018"/>
            </w:pPr>
            <w:r w:rsidRPr="00F00F70">
              <w:rPr>
                <w:rStyle w:val="DoEstrongemphasis2018"/>
              </w:rPr>
              <w:t>WE4-2</w:t>
            </w:r>
            <w:r w:rsidR="00F45713">
              <w:t xml:space="preserve"> recognises appropriate behaviours and protocols in diverse work contexts </w:t>
            </w:r>
          </w:p>
        </w:tc>
        <w:tc>
          <w:tcPr>
            <w:tcW w:w="4814" w:type="dxa"/>
          </w:tcPr>
          <w:p w14:paraId="5B37DDCD" w14:textId="1628967D" w:rsidR="00A86F51" w:rsidRPr="00244CC0" w:rsidRDefault="00A86F51" w:rsidP="00A86F51">
            <w:pPr>
              <w:pStyle w:val="DoEtabletext2018"/>
            </w:pPr>
            <w:r w:rsidRPr="00244CC0">
              <w:t xml:space="preserve">The world of work </w:t>
            </w:r>
          </w:p>
          <w:p w14:paraId="2E220131" w14:textId="3A4F9DB0" w:rsidR="00A86F51" w:rsidRPr="00244CC0" w:rsidRDefault="00A86F51" w:rsidP="00A86F51">
            <w:pPr>
              <w:pStyle w:val="DoEtabletext2018"/>
            </w:pPr>
            <w:r w:rsidRPr="00F00F70">
              <w:rPr>
                <w:rStyle w:val="DoEstrongemphasis2018"/>
              </w:rPr>
              <w:t>WE5-1</w:t>
            </w:r>
            <w:r w:rsidRPr="00244CC0">
              <w:t xml:space="preserve"> </w:t>
            </w:r>
            <w:r w:rsidRPr="00A86F51">
              <w:t>analyses employment trends and changes in the nature of work</w:t>
            </w:r>
          </w:p>
          <w:p w14:paraId="7B2F79B0" w14:textId="5EAFAACD" w:rsidR="004D5D6D" w:rsidRPr="0097595C" w:rsidRDefault="00A86F51" w:rsidP="004D5D6D">
            <w:pPr>
              <w:pStyle w:val="DoEtabletext2018"/>
            </w:pPr>
            <w:r w:rsidRPr="00F00F70">
              <w:rPr>
                <w:rStyle w:val="DoEstrongemphasis2018"/>
              </w:rPr>
              <w:t>WE5-2</w:t>
            </w:r>
            <w:r>
              <w:t xml:space="preserve"> analyses current workplace issues and their implications</w:t>
            </w:r>
          </w:p>
        </w:tc>
      </w:tr>
      <w:tr w:rsidR="004D5D6D" w14:paraId="3DEC46AE" w14:textId="77777777" w:rsidTr="008431D7">
        <w:tc>
          <w:tcPr>
            <w:tcW w:w="4814" w:type="dxa"/>
          </w:tcPr>
          <w:p w14:paraId="7805E762" w14:textId="77777777" w:rsidR="004D5D6D" w:rsidRPr="00244CC0" w:rsidRDefault="00F45713" w:rsidP="004D5D6D">
            <w:pPr>
              <w:pStyle w:val="DoEtabletext2018"/>
            </w:pPr>
            <w:r w:rsidRPr="00244CC0">
              <w:t>Roles of individuals and diverse organisations within the local and Australian community</w:t>
            </w:r>
          </w:p>
          <w:p w14:paraId="3068ECA4" w14:textId="77777777" w:rsidR="00F45713" w:rsidRDefault="00F45713" w:rsidP="004D5D6D">
            <w:pPr>
              <w:pStyle w:val="DoEtabletext2018"/>
            </w:pPr>
            <w:r w:rsidRPr="00F00F70">
              <w:rPr>
                <w:rStyle w:val="DoEstrongemphasis2018"/>
              </w:rPr>
              <w:t>WE4-3</w:t>
            </w:r>
            <w:r>
              <w:t xml:space="preserve"> identifies the range of organisations within their local community</w:t>
            </w:r>
          </w:p>
          <w:p w14:paraId="5BC25D41" w14:textId="7B9490C4" w:rsidR="00F45713" w:rsidRPr="00054AEA" w:rsidRDefault="00F45713" w:rsidP="004D5D6D">
            <w:pPr>
              <w:pStyle w:val="DoEtabletext2018"/>
            </w:pPr>
            <w:r w:rsidRPr="00F00F70">
              <w:rPr>
                <w:rStyle w:val="DoEstrongemphasis2018"/>
              </w:rPr>
              <w:t>WE4-4</w:t>
            </w:r>
            <w:r>
              <w:t xml:space="preserve"> describes the roles and responsibilities of individuals within the local community</w:t>
            </w:r>
          </w:p>
        </w:tc>
        <w:tc>
          <w:tcPr>
            <w:tcW w:w="4814" w:type="dxa"/>
          </w:tcPr>
          <w:p w14:paraId="7314D432" w14:textId="77777777" w:rsidR="00A86F51" w:rsidRPr="00244CC0" w:rsidRDefault="00A86F51" w:rsidP="00A86F51">
            <w:pPr>
              <w:pStyle w:val="DoEtabletext2018"/>
            </w:pPr>
            <w:r w:rsidRPr="00244CC0">
              <w:t>Roles of individuals and diverse organisations within the local and Australian community</w:t>
            </w:r>
          </w:p>
          <w:p w14:paraId="6681F38B" w14:textId="77777777" w:rsidR="00A86F51" w:rsidRDefault="00A86F51" w:rsidP="004D5D6D">
            <w:pPr>
              <w:pStyle w:val="DoEtabletext2018"/>
            </w:pPr>
            <w:r w:rsidRPr="00F00F70">
              <w:rPr>
                <w:rStyle w:val="DoEstrongemphasis2018"/>
              </w:rPr>
              <w:t>WE5-3</w:t>
            </w:r>
            <w:r>
              <w:t xml:space="preserve"> examines the roles of diverse organisations in the Australian community</w:t>
            </w:r>
          </w:p>
          <w:p w14:paraId="4A807A9A" w14:textId="34D10B1E" w:rsidR="004D5D6D" w:rsidRPr="0097595C" w:rsidRDefault="00A86F51" w:rsidP="004D5D6D">
            <w:pPr>
              <w:pStyle w:val="DoEtabletext2018"/>
            </w:pPr>
            <w:r w:rsidRPr="00F00F70">
              <w:rPr>
                <w:rStyle w:val="DoEstrongemphasis2018"/>
              </w:rPr>
              <w:t>WE5-4</w:t>
            </w:r>
            <w:r>
              <w:t xml:space="preserve"> evaluates the roles and responsibilities of individuals within the Australia community</w:t>
            </w:r>
          </w:p>
        </w:tc>
      </w:tr>
      <w:tr w:rsidR="004D5D6D" w14:paraId="4BB7552E" w14:textId="77777777" w:rsidTr="008431D7">
        <w:tc>
          <w:tcPr>
            <w:tcW w:w="4814" w:type="dxa"/>
          </w:tcPr>
          <w:p w14:paraId="16D333B0" w14:textId="77777777" w:rsidR="004D5D6D" w:rsidRPr="00244CC0" w:rsidRDefault="00F45713" w:rsidP="004D5D6D">
            <w:pPr>
              <w:pStyle w:val="DoEtabletext2018"/>
            </w:pPr>
            <w:r w:rsidRPr="00244CC0">
              <w:t xml:space="preserve">The role of education, employment and training in planning and managing transactions </w:t>
            </w:r>
          </w:p>
          <w:p w14:paraId="72F34F82" w14:textId="191DE59E" w:rsidR="00F45713" w:rsidRDefault="00F45713" w:rsidP="004D5D6D">
            <w:pPr>
              <w:pStyle w:val="DoEtabletext2018"/>
            </w:pPr>
            <w:r w:rsidRPr="00F00F70">
              <w:rPr>
                <w:rStyle w:val="DoEstrongemphasis2018"/>
              </w:rPr>
              <w:t>WE4</w:t>
            </w:r>
            <w:r w:rsidR="002F3ECF" w:rsidRPr="00F00F70">
              <w:rPr>
                <w:rStyle w:val="DoEstrongemphasis2018"/>
              </w:rPr>
              <w:t>-5</w:t>
            </w:r>
            <w:r>
              <w:t xml:space="preserve"> describes the purpose of education, employment and training organisations</w:t>
            </w:r>
          </w:p>
          <w:p w14:paraId="2C6047CB" w14:textId="1E1E0862" w:rsidR="00F45713" w:rsidRPr="008E106F" w:rsidRDefault="00F45713" w:rsidP="004D5D6D">
            <w:pPr>
              <w:pStyle w:val="DoEtabletext2018"/>
              <w:rPr>
                <w:b/>
              </w:rPr>
            </w:pPr>
            <w:r w:rsidRPr="00244CC0">
              <w:lastRenderedPageBreak/>
              <w:t>WE4-6</w:t>
            </w:r>
            <w:r w:rsidR="008E106F" w:rsidRPr="00244CC0">
              <w:t xml:space="preserve"> </w:t>
            </w:r>
            <w:r w:rsidR="00A86F51" w:rsidRPr="00244CC0">
              <w:t>e</w:t>
            </w:r>
            <w:r>
              <w:t xml:space="preserve">xplains personal goals ,attributes and values too inform choices and career pathways plans </w:t>
            </w:r>
          </w:p>
        </w:tc>
        <w:tc>
          <w:tcPr>
            <w:tcW w:w="4814" w:type="dxa"/>
          </w:tcPr>
          <w:p w14:paraId="49EF7CF3" w14:textId="77777777" w:rsidR="00A86F51" w:rsidRPr="00244CC0" w:rsidRDefault="00A86F51" w:rsidP="00A86F51">
            <w:pPr>
              <w:pStyle w:val="DoEtabletext2018"/>
            </w:pPr>
            <w:r w:rsidRPr="00244CC0">
              <w:lastRenderedPageBreak/>
              <w:t xml:space="preserve">The role of education, employment and training in planning and managing transactions </w:t>
            </w:r>
          </w:p>
          <w:p w14:paraId="2874145A" w14:textId="7AFB38C6" w:rsidR="00A86F51" w:rsidRDefault="00A86F51" w:rsidP="004D5D6D">
            <w:pPr>
              <w:pStyle w:val="DoEtabletext2018"/>
            </w:pPr>
            <w:r w:rsidRPr="00F00F70">
              <w:rPr>
                <w:rStyle w:val="DoEstrongemphasis2018"/>
              </w:rPr>
              <w:t>WE5-5</w:t>
            </w:r>
            <w:r>
              <w:t xml:space="preserve"> explains the roles of education, employment and training organisations</w:t>
            </w:r>
          </w:p>
          <w:p w14:paraId="04AF14A3" w14:textId="22B55FB0" w:rsidR="004D5D6D" w:rsidRPr="0097595C" w:rsidRDefault="00A86F51" w:rsidP="004D5D6D">
            <w:pPr>
              <w:pStyle w:val="DoEtabletext2018"/>
            </w:pPr>
            <w:r w:rsidRPr="00244CC0">
              <w:lastRenderedPageBreak/>
              <w:t>WE5-6</w:t>
            </w:r>
            <w:r>
              <w:t xml:space="preserve"> assesses personal goals, attributes and values in the context of education, training and employment</w:t>
            </w:r>
          </w:p>
        </w:tc>
      </w:tr>
      <w:tr w:rsidR="004D5D6D" w14:paraId="369AA116" w14:textId="77777777" w:rsidTr="008431D7">
        <w:tc>
          <w:tcPr>
            <w:tcW w:w="4814" w:type="dxa"/>
            <w:shd w:val="clear" w:color="auto" w:fill="F2F2F2" w:themeFill="background1" w:themeFillShade="F2"/>
          </w:tcPr>
          <w:p w14:paraId="534BA6BE" w14:textId="5D8EC9E9" w:rsidR="004D5D6D" w:rsidRPr="00054AEA" w:rsidRDefault="004D5D6D" w:rsidP="004D5D6D">
            <w:pPr>
              <w:pStyle w:val="DoEtabletext2018"/>
            </w:pPr>
          </w:p>
        </w:tc>
        <w:tc>
          <w:tcPr>
            <w:tcW w:w="4814" w:type="dxa"/>
            <w:shd w:val="clear" w:color="auto" w:fill="F2F2F2" w:themeFill="background1" w:themeFillShade="F2"/>
          </w:tcPr>
          <w:p w14:paraId="1848A97B" w14:textId="3E62561F" w:rsidR="004D5D6D" w:rsidRPr="0097595C" w:rsidRDefault="004D5D6D" w:rsidP="004D5D6D">
            <w:pPr>
              <w:pStyle w:val="DoEtabletext2018"/>
            </w:pPr>
          </w:p>
        </w:tc>
      </w:tr>
      <w:tr w:rsidR="004D5D6D" w14:paraId="68B94D8E" w14:textId="77777777" w:rsidTr="008431D7">
        <w:tc>
          <w:tcPr>
            <w:tcW w:w="4814" w:type="dxa"/>
          </w:tcPr>
          <w:p w14:paraId="652294D1" w14:textId="3DAF87AC" w:rsidR="004D5D6D" w:rsidRPr="00244CC0" w:rsidRDefault="008E106F" w:rsidP="002F3ECF">
            <w:pPr>
              <w:pStyle w:val="DoEtabletext2018"/>
            </w:pPr>
            <w:r w:rsidRPr="00244CC0">
              <w:t xml:space="preserve">Student outcomes - skills related to workplace contexts, entrepreneurship and managing transitions </w:t>
            </w:r>
          </w:p>
        </w:tc>
        <w:tc>
          <w:tcPr>
            <w:tcW w:w="4814" w:type="dxa"/>
          </w:tcPr>
          <w:p w14:paraId="7AB40F3B" w14:textId="3BC85848" w:rsidR="004D5D6D" w:rsidRPr="00244CC0" w:rsidRDefault="00A86F51" w:rsidP="004D5D6D">
            <w:pPr>
              <w:pStyle w:val="DoEtabletext2018"/>
            </w:pPr>
            <w:r w:rsidRPr="00244CC0">
              <w:t>Student outcomes - skills related to workplace contexts, entrepreneurship and managing transitions</w:t>
            </w:r>
          </w:p>
        </w:tc>
      </w:tr>
      <w:tr w:rsidR="008E106F" w14:paraId="6C4F1B1E" w14:textId="77777777" w:rsidTr="008431D7">
        <w:tc>
          <w:tcPr>
            <w:tcW w:w="4814" w:type="dxa"/>
          </w:tcPr>
          <w:p w14:paraId="63E9D453" w14:textId="75A0BB51" w:rsidR="008E106F" w:rsidRPr="00244CC0" w:rsidRDefault="008E106F" w:rsidP="004D5D6D">
            <w:pPr>
              <w:pStyle w:val="DoEtabletext2018"/>
            </w:pPr>
            <w:r w:rsidRPr="00244CC0">
              <w:t>WE4</w:t>
            </w:r>
            <w:r w:rsidR="002F3ECF" w:rsidRPr="00244CC0">
              <w:t>-</w:t>
            </w:r>
            <w:r w:rsidRPr="00244CC0">
              <w:t>7 identifies skills, attributes and entrepreneurial behaviours for  effective participation in work and society</w:t>
            </w:r>
          </w:p>
          <w:p w14:paraId="243CAF23" w14:textId="0F8BCF18" w:rsidR="008E106F" w:rsidRPr="008E106F" w:rsidRDefault="008E106F" w:rsidP="004D5D6D">
            <w:pPr>
              <w:pStyle w:val="DoEtabletext2018"/>
              <w:rPr>
                <w:rFonts w:ascii="Arial" w:hAnsi="Arial" w:cs="Arial"/>
                <w:b/>
              </w:rPr>
            </w:pPr>
            <w:r w:rsidRPr="00244CC0">
              <w:t xml:space="preserve">WE4- 8 identifies skills related to career development and managing transitions </w:t>
            </w:r>
          </w:p>
        </w:tc>
        <w:tc>
          <w:tcPr>
            <w:tcW w:w="4814" w:type="dxa"/>
          </w:tcPr>
          <w:p w14:paraId="01CE4A77" w14:textId="77777777" w:rsidR="00A86F51" w:rsidRDefault="00A86F51" w:rsidP="004D5D6D">
            <w:pPr>
              <w:pStyle w:val="DoEtabletext2018"/>
            </w:pPr>
            <w:r w:rsidRPr="00244CC0">
              <w:t>WE5-7</w:t>
            </w:r>
            <w:r>
              <w:t xml:space="preserve"> explains skills, attributes and entrepreneurial behaviours in a range of contexts </w:t>
            </w:r>
          </w:p>
          <w:p w14:paraId="471784D1" w14:textId="738DD489" w:rsidR="008E106F" w:rsidRDefault="00A86F51" w:rsidP="004D5D6D">
            <w:pPr>
              <w:pStyle w:val="DoEtabletext2018"/>
            </w:pPr>
            <w:r w:rsidRPr="00244CC0">
              <w:t>WE5-8</w:t>
            </w:r>
            <w:r>
              <w:t xml:space="preserve"> assess options for career development and managing transitions</w:t>
            </w:r>
          </w:p>
        </w:tc>
      </w:tr>
      <w:tr w:rsidR="008E106F" w14:paraId="7B7753DF" w14:textId="77777777" w:rsidTr="008431D7">
        <w:tc>
          <w:tcPr>
            <w:tcW w:w="4814" w:type="dxa"/>
          </w:tcPr>
          <w:p w14:paraId="568BC83A" w14:textId="6A4CACA9" w:rsidR="008E106F" w:rsidRPr="00244CC0" w:rsidRDefault="008E106F" w:rsidP="004D5D6D">
            <w:pPr>
              <w:pStyle w:val="DoEtabletext2018"/>
            </w:pPr>
            <w:r w:rsidRPr="00244CC0">
              <w:t>Research and communication skills that relate to the world of work</w:t>
            </w:r>
          </w:p>
          <w:p w14:paraId="76DEBE5D" w14:textId="77777777" w:rsidR="008E106F" w:rsidRPr="00244CC0" w:rsidRDefault="008E106F" w:rsidP="004D5D6D">
            <w:pPr>
              <w:pStyle w:val="DoEtabletext2018"/>
            </w:pPr>
            <w:r w:rsidRPr="00244CC0">
              <w:t>WE4-9 uses relevant information from a variety of sources</w:t>
            </w:r>
          </w:p>
          <w:p w14:paraId="6E100412" w14:textId="11773BBD" w:rsidR="008E106F" w:rsidRDefault="008E106F" w:rsidP="004D5D6D">
            <w:pPr>
              <w:pStyle w:val="DoEtabletext2018"/>
              <w:rPr>
                <w:rFonts w:ascii="Arial" w:hAnsi="Arial" w:cs="Arial"/>
                <w:b/>
              </w:rPr>
            </w:pPr>
            <w:r w:rsidRPr="00244CC0">
              <w:t xml:space="preserve">WE4-10 selects and users appropriate forms to communicate information about the world of work </w:t>
            </w:r>
          </w:p>
        </w:tc>
        <w:tc>
          <w:tcPr>
            <w:tcW w:w="4814" w:type="dxa"/>
          </w:tcPr>
          <w:p w14:paraId="73D726B5" w14:textId="77777777" w:rsidR="00A86F51" w:rsidRPr="00244CC0" w:rsidRDefault="00A86F51" w:rsidP="00A86F51">
            <w:pPr>
              <w:pStyle w:val="DoEtabletext2018"/>
            </w:pPr>
            <w:r w:rsidRPr="00244CC0">
              <w:t>Research and communication skills that relate to the world of work</w:t>
            </w:r>
          </w:p>
          <w:p w14:paraId="4E7BEB36" w14:textId="08766973" w:rsidR="00A86F51" w:rsidRDefault="00A86F51" w:rsidP="004D5D6D">
            <w:pPr>
              <w:pStyle w:val="DoEtabletext2018"/>
            </w:pPr>
            <w:r w:rsidRPr="00244CC0">
              <w:t>WE5-9</w:t>
            </w:r>
            <w:r w:rsidR="002F3ECF">
              <w:t xml:space="preserve"> selects and analyses relevant information from a variety of sources</w:t>
            </w:r>
          </w:p>
          <w:p w14:paraId="77791714" w14:textId="37C57C18" w:rsidR="008E106F" w:rsidRDefault="00A86F51" w:rsidP="004D5D6D">
            <w:pPr>
              <w:pStyle w:val="DoEtabletext2018"/>
            </w:pPr>
            <w:r w:rsidRPr="00244CC0">
              <w:t>WE5-10</w:t>
            </w:r>
            <w:r w:rsidR="002F3ECF">
              <w:t xml:space="preserve"> selects and users appropriate forms to communicate information about the world of work for different audiences </w:t>
            </w:r>
          </w:p>
        </w:tc>
      </w:tr>
    </w:tbl>
    <w:p w14:paraId="27E13BFF" w14:textId="46DCB0BD" w:rsidR="004D5D6D" w:rsidRPr="00361D3C" w:rsidRDefault="00094190" w:rsidP="00690504">
      <w:pPr>
        <w:pStyle w:val="DoEheading22018"/>
      </w:pPr>
      <w:r w:rsidRPr="00361D3C">
        <w:t>Assessment</w:t>
      </w:r>
    </w:p>
    <w:p w14:paraId="06C75F56" w14:textId="537995DC" w:rsidR="004D5D6D" w:rsidRDefault="004D5D6D" w:rsidP="00690504">
      <w:pPr>
        <w:pStyle w:val="DoEbodytext2018"/>
      </w:pPr>
      <w:r>
        <w:t xml:space="preserve">Assessment in </w:t>
      </w:r>
      <w:r w:rsidR="002F3ECF">
        <w:t xml:space="preserve">Work Education is of school-based assessment. </w:t>
      </w:r>
      <w:r>
        <w:t xml:space="preserve">The school-based assessment requirements are as follows: </w:t>
      </w:r>
    </w:p>
    <w:p w14:paraId="7A76F395" w14:textId="12AACBC0" w:rsidR="002F3ECF" w:rsidRPr="00324D42" w:rsidRDefault="002F3ECF" w:rsidP="00690504">
      <w:pPr>
        <w:pStyle w:val="DoEbodytext2018"/>
      </w:pPr>
      <w:r w:rsidRPr="00690504">
        <w:rPr>
          <w:rStyle w:val="DoEstrongemphasis2018"/>
        </w:rPr>
        <w:t>STAGE 4</w:t>
      </w:r>
      <w:r w:rsidR="00324D42" w:rsidRPr="00690504">
        <w:rPr>
          <w:rStyle w:val="DoEstrongemphasis2018"/>
        </w:rPr>
        <w:t xml:space="preserve"> and 5</w:t>
      </w:r>
      <w:r w:rsidRPr="00690504">
        <w:t xml:space="preserve"> </w:t>
      </w:r>
      <w:r w:rsidRPr="00324D42">
        <w:t>School developed assessment closely aligned to the outcomes to the stage</w:t>
      </w:r>
    </w:p>
    <w:p w14:paraId="537279EA" w14:textId="77777777" w:rsidR="00324D42" w:rsidRPr="00690504" w:rsidRDefault="00324D42" w:rsidP="00690504">
      <w:pPr>
        <w:pStyle w:val="DoEbodytext2018"/>
      </w:pPr>
      <w:r w:rsidRPr="00690504">
        <w:t>Assessment for students with special needs.</w:t>
      </w:r>
    </w:p>
    <w:p w14:paraId="62A432FC" w14:textId="759DBB45" w:rsidR="00324D42" w:rsidRPr="00690504" w:rsidRDefault="00324D42" w:rsidP="00690504">
      <w:pPr>
        <w:pStyle w:val="DoEbodytext2018"/>
      </w:pPr>
      <w:r w:rsidRPr="00324D42">
        <w:rPr>
          <w:lang w:eastAsia="en-US"/>
        </w:rPr>
        <w:t>Adjustments will be required for some students to assessment practices in ord</w:t>
      </w:r>
      <w:r w:rsidR="00694E68">
        <w:rPr>
          <w:lang w:eastAsia="en-US"/>
        </w:rPr>
        <w:t xml:space="preserve">er to demonstrate the outcomes </w:t>
      </w:r>
      <w:r w:rsidRPr="00324D42">
        <w:rPr>
          <w:lang w:eastAsia="en-US"/>
        </w:rPr>
        <w:t>and content.</w:t>
      </w:r>
    </w:p>
    <w:p w14:paraId="371712A5" w14:textId="60D18627" w:rsidR="00D46F0D" w:rsidRDefault="006D3FE3" w:rsidP="00690504">
      <w:pPr>
        <w:pStyle w:val="DoEheading22018"/>
      </w:pPr>
      <w:r>
        <w:t>Additional information</w:t>
      </w:r>
      <w:r w:rsidR="00D46F0D">
        <w:t xml:space="preserve"> for teachers</w:t>
      </w:r>
    </w:p>
    <w:p w14:paraId="635B69DA" w14:textId="47A82A33" w:rsidR="00094190" w:rsidRPr="005653A6" w:rsidRDefault="00094190" w:rsidP="005653A6">
      <w:pPr>
        <w:pStyle w:val="DoEbodytext2018"/>
      </w:pPr>
      <w:r w:rsidRPr="005653A6">
        <w:t xml:space="preserve">This syllabus has been streamlined to enable program and content designers to develop a scope and sequence/program in line with students needs and projected outcomes. </w:t>
      </w:r>
    </w:p>
    <w:p w14:paraId="5BCEB8DA" w14:textId="6B3DE5DB" w:rsidR="00F24E91" w:rsidRDefault="00694E68" w:rsidP="005653A6">
      <w:pPr>
        <w:pStyle w:val="DoEbodytext2018"/>
      </w:pPr>
      <w:r w:rsidRPr="00CC1245">
        <w:t>Outcome coding:</w:t>
      </w:r>
      <w:r w:rsidR="00534A64" w:rsidRPr="00CC1245">
        <w:t xml:space="preserve"> </w:t>
      </w:r>
      <w:r w:rsidRPr="00CC1245">
        <w:t>Syllabus Outcomes are codes in a consistent way. The code identifies the subject, stage, outcome number and the way the content is organised.</w:t>
      </w:r>
    </w:p>
    <w:p w14:paraId="0C6953C2" w14:textId="77777777" w:rsidR="00F24E91" w:rsidRDefault="00F24E91">
      <w:pPr>
        <w:spacing w:before="0" w:line="240" w:lineRule="auto"/>
      </w:pPr>
      <w:r>
        <w:br w:type="page"/>
      </w:r>
    </w:p>
    <w:p w14:paraId="697678E2" w14:textId="5011F41C" w:rsidR="00694E68" w:rsidRPr="00CC1245" w:rsidRDefault="00694E68" w:rsidP="00094190">
      <w:pPr>
        <w:pStyle w:val="DoEheading42018"/>
      </w:pPr>
      <w:r>
        <w:lastRenderedPageBreak/>
        <w:t>Stage 4, Stage 5 and Life Skills are represented by the following codes:</w:t>
      </w:r>
    </w:p>
    <w:tbl>
      <w:tblPr>
        <w:tblStyle w:val="TableGrid"/>
        <w:tblW w:w="0" w:type="auto"/>
        <w:tblLook w:val="04A0" w:firstRow="1" w:lastRow="0" w:firstColumn="1" w:lastColumn="0" w:noHBand="0" w:noVBand="1"/>
        <w:tblCaption w:val="Stage 4, 5 and life skills represented by the following codes"/>
      </w:tblPr>
      <w:tblGrid>
        <w:gridCol w:w="1838"/>
        <w:gridCol w:w="1843"/>
        <w:gridCol w:w="6946"/>
      </w:tblGrid>
      <w:tr w:rsidR="00BF362A" w:rsidRPr="00694E68" w14:paraId="1FDD0236" w14:textId="328651DD" w:rsidTr="00C64D73">
        <w:trPr>
          <w:cantSplit/>
          <w:tblHeader/>
        </w:trPr>
        <w:tc>
          <w:tcPr>
            <w:tcW w:w="1838" w:type="dxa"/>
            <w:shd w:val="clear" w:color="auto" w:fill="D9D9D9" w:themeFill="background1" w:themeFillShade="D9"/>
          </w:tcPr>
          <w:p w14:paraId="7121DEEC" w14:textId="537C0F6D" w:rsidR="00BF362A" w:rsidRPr="00CC1245" w:rsidRDefault="00BF362A" w:rsidP="00D477E4">
            <w:pPr>
              <w:pStyle w:val="DoEtableheading2018"/>
            </w:pPr>
            <w:r w:rsidRPr="00CC1245">
              <w:t xml:space="preserve">Stage </w:t>
            </w:r>
          </w:p>
        </w:tc>
        <w:tc>
          <w:tcPr>
            <w:tcW w:w="1843" w:type="dxa"/>
            <w:shd w:val="clear" w:color="auto" w:fill="D9D9D9" w:themeFill="background1" w:themeFillShade="D9"/>
          </w:tcPr>
          <w:p w14:paraId="3B7202AA" w14:textId="2322F614" w:rsidR="00BF362A" w:rsidRPr="00CC1245" w:rsidRDefault="00BF362A" w:rsidP="00D477E4">
            <w:pPr>
              <w:pStyle w:val="DoEtableheading2018"/>
            </w:pPr>
            <w:r w:rsidRPr="00CC1245">
              <w:t>Code</w:t>
            </w:r>
          </w:p>
        </w:tc>
        <w:tc>
          <w:tcPr>
            <w:tcW w:w="6946" w:type="dxa"/>
            <w:shd w:val="clear" w:color="auto" w:fill="D9D9D9" w:themeFill="background1" w:themeFillShade="D9"/>
          </w:tcPr>
          <w:p w14:paraId="65FF4E58" w14:textId="081AD01D" w:rsidR="00BF362A" w:rsidRPr="00CC1245" w:rsidRDefault="00094190" w:rsidP="00D477E4">
            <w:pPr>
              <w:pStyle w:val="DoEtableheading2018"/>
            </w:pPr>
            <w:r w:rsidRPr="00CC1245">
              <w:t>Comments</w:t>
            </w:r>
          </w:p>
        </w:tc>
      </w:tr>
      <w:tr w:rsidR="00BF362A" w:rsidRPr="00694E68" w14:paraId="13E968D9" w14:textId="49EBF795" w:rsidTr="00FC3E6B">
        <w:trPr>
          <w:tblHeader/>
        </w:trPr>
        <w:tc>
          <w:tcPr>
            <w:tcW w:w="1838" w:type="dxa"/>
          </w:tcPr>
          <w:p w14:paraId="7CAA8BE8" w14:textId="43E2828A" w:rsidR="00BF362A" w:rsidRPr="00CC1245" w:rsidRDefault="00BF362A" w:rsidP="00D477E4">
            <w:pPr>
              <w:pStyle w:val="DoEtabletext2018"/>
            </w:pPr>
            <w:r w:rsidRPr="00CC1245">
              <w:t xml:space="preserve"> Stage 4</w:t>
            </w:r>
          </w:p>
        </w:tc>
        <w:tc>
          <w:tcPr>
            <w:tcW w:w="1843" w:type="dxa"/>
          </w:tcPr>
          <w:p w14:paraId="35C64F9F" w14:textId="7F8FAE09" w:rsidR="00BF362A" w:rsidRPr="00CC1245" w:rsidRDefault="00BF362A" w:rsidP="00D477E4">
            <w:pPr>
              <w:pStyle w:val="DoEtabletext2018"/>
            </w:pPr>
            <w:r w:rsidRPr="00CC1245">
              <w:t>4</w:t>
            </w:r>
          </w:p>
        </w:tc>
        <w:tc>
          <w:tcPr>
            <w:tcW w:w="6946" w:type="dxa"/>
          </w:tcPr>
          <w:p w14:paraId="7C85FDA5" w14:textId="61835019" w:rsidR="00BF362A" w:rsidRPr="00CC1245" w:rsidRDefault="00BF362A" w:rsidP="00D477E4">
            <w:pPr>
              <w:pStyle w:val="DoEtabletext2018"/>
            </w:pPr>
            <w:r w:rsidRPr="00CC1245">
              <w:t xml:space="preserve">In this syllabus ,outcome codes indicate subject , Stage and outcome number/ For exampleWE5-1 :Work Education stage 5 outcome 1 </w:t>
            </w:r>
          </w:p>
        </w:tc>
      </w:tr>
      <w:tr w:rsidR="00BF362A" w:rsidRPr="00694E68" w14:paraId="4EECE4FD" w14:textId="1580C027" w:rsidTr="00FC3E6B">
        <w:trPr>
          <w:tblHeader/>
        </w:trPr>
        <w:tc>
          <w:tcPr>
            <w:tcW w:w="1838" w:type="dxa"/>
          </w:tcPr>
          <w:p w14:paraId="7C67F763" w14:textId="532262A0" w:rsidR="00BF362A" w:rsidRPr="00CC1245" w:rsidRDefault="00BF362A" w:rsidP="00D477E4">
            <w:pPr>
              <w:pStyle w:val="DoEtabletext2018"/>
            </w:pPr>
            <w:r w:rsidRPr="00CC1245">
              <w:t>Stage 5</w:t>
            </w:r>
          </w:p>
        </w:tc>
        <w:tc>
          <w:tcPr>
            <w:tcW w:w="1843" w:type="dxa"/>
          </w:tcPr>
          <w:p w14:paraId="3B8A97C3" w14:textId="2731CBD1" w:rsidR="00BF362A" w:rsidRPr="00CC1245" w:rsidRDefault="00BF362A" w:rsidP="00D477E4">
            <w:pPr>
              <w:pStyle w:val="DoEtabletext2018"/>
            </w:pPr>
            <w:r w:rsidRPr="00CC1245">
              <w:t>5</w:t>
            </w:r>
          </w:p>
        </w:tc>
        <w:tc>
          <w:tcPr>
            <w:tcW w:w="6946" w:type="dxa"/>
          </w:tcPr>
          <w:p w14:paraId="07584ECB" w14:textId="77777777" w:rsidR="00BF362A" w:rsidRPr="00694E68" w:rsidRDefault="00BF362A" w:rsidP="00D477E4">
            <w:pPr>
              <w:pStyle w:val="DoEtabletext2018"/>
              <w:rPr>
                <w:lang w:eastAsia="en-US"/>
              </w:rPr>
            </w:pPr>
          </w:p>
        </w:tc>
      </w:tr>
      <w:tr w:rsidR="00BF362A" w:rsidRPr="00694E68" w14:paraId="0A53788E" w14:textId="1583C658" w:rsidTr="00FC3E6B">
        <w:trPr>
          <w:tblHeader/>
        </w:trPr>
        <w:tc>
          <w:tcPr>
            <w:tcW w:w="1838" w:type="dxa"/>
          </w:tcPr>
          <w:p w14:paraId="71198CE2" w14:textId="0E060880" w:rsidR="00BF362A" w:rsidRPr="00CC1245" w:rsidRDefault="00BF362A" w:rsidP="00D477E4">
            <w:pPr>
              <w:pStyle w:val="DoEtabletext2018"/>
            </w:pPr>
            <w:r w:rsidRPr="00CC1245">
              <w:t xml:space="preserve">Life Skills </w:t>
            </w:r>
          </w:p>
        </w:tc>
        <w:tc>
          <w:tcPr>
            <w:tcW w:w="1843" w:type="dxa"/>
          </w:tcPr>
          <w:p w14:paraId="7C3EA52C" w14:textId="09AA4D24" w:rsidR="00BF362A" w:rsidRPr="00CC1245" w:rsidRDefault="00BF362A" w:rsidP="00D477E4">
            <w:pPr>
              <w:pStyle w:val="DoEtabletext2018"/>
            </w:pPr>
            <w:r w:rsidRPr="00CC1245">
              <w:t>LS</w:t>
            </w:r>
          </w:p>
        </w:tc>
        <w:tc>
          <w:tcPr>
            <w:tcW w:w="6946" w:type="dxa"/>
          </w:tcPr>
          <w:p w14:paraId="7B5CC8E6" w14:textId="5B3BEEC2" w:rsidR="00BF362A" w:rsidRPr="00694E68" w:rsidRDefault="00F4297C" w:rsidP="00D477E4">
            <w:pPr>
              <w:pStyle w:val="DoEtabletext2018"/>
              <w:rPr>
                <w:lang w:eastAsia="en-US"/>
              </w:rPr>
            </w:pPr>
            <w:r>
              <w:rPr>
                <w:lang w:eastAsia="en-US"/>
              </w:rPr>
              <w:t>Life Skills</w:t>
            </w:r>
          </w:p>
        </w:tc>
      </w:tr>
    </w:tbl>
    <w:p w14:paraId="362C0690" w14:textId="77777777" w:rsidR="00094190" w:rsidRDefault="00094190" w:rsidP="00690D02">
      <w:pPr>
        <w:pStyle w:val="DoEheading22018"/>
      </w:pPr>
      <w:r>
        <w:t>New to this syllabus</w:t>
      </w:r>
    </w:p>
    <w:p w14:paraId="520499C1" w14:textId="77777777" w:rsidR="00094190" w:rsidRPr="00AF0B50" w:rsidRDefault="00094190" w:rsidP="00AF0B50">
      <w:pPr>
        <w:pStyle w:val="DoEbodytext2018"/>
      </w:pPr>
      <w:r w:rsidRPr="00AF0B50">
        <w:t>This curriculum includes Australian Curriculum content for Work Studies with Australian Curriculum codes in brackets at the end of each content description e.g. initiatives to build employment and enterprise opportunities in their community/region (ACWSCL015)</w:t>
      </w:r>
    </w:p>
    <w:p w14:paraId="28DDB9E0" w14:textId="567F0FD2" w:rsidR="00094190" w:rsidRDefault="00354358" w:rsidP="00094190">
      <w:pPr>
        <w:pStyle w:val="DoEbodytext2018"/>
      </w:pPr>
      <w:r>
        <w:rPr>
          <w:noProof/>
        </w:rPr>
        <w:drawing>
          <wp:anchor distT="0" distB="0" distL="114300" distR="114300" simplePos="0" relativeHeight="251658752" behindDoc="0" locked="0" layoutInCell="1" allowOverlap="1" wp14:anchorId="0435F418" wp14:editId="1F09901F">
            <wp:simplePos x="0" y="0"/>
            <wp:positionH relativeFrom="margin">
              <wp:posOffset>376555</wp:posOffset>
            </wp:positionH>
            <wp:positionV relativeFrom="page">
              <wp:posOffset>4203700</wp:posOffset>
            </wp:positionV>
            <wp:extent cx="6179820" cy="2946400"/>
            <wp:effectExtent l="0" t="0" r="0" b="6350"/>
            <wp:wrapSquare wrapText="bothSides"/>
            <wp:docPr id="4" name="Picture 4" descr="C:\Users\gobrien9\AppData\Local\Microsoft\Windows\INetCache\Content.MSO\2F721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brien9\AppData\Local\Microsoft\Windows\INetCache\Content.MSO\2F721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9820" cy="29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190">
        <w:t>Australian Curriculum</w:t>
      </w:r>
      <w:r w:rsidR="00F96C67">
        <w:t xml:space="preserve"> - </w:t>
      </w:r>
      <w:r w:rsidR="00094190">
        <w:t>Work Studies</w:t>
      </w:r>
      <w:r w:rsidR="00201E1B">
        <w:t xml:space="preserve"> </w:t>
      </w:r>
      <w:r w:rsidR="00F96C67">
        <w:t>-</w:t>
      </w:r>
      <w:r w:rsidR="00201E1B">
        <w:t xml:space="preserve"> </w:t>
      </w:r>
      <w:r w:rsidR="00094190">
        <w:t>Element Code</w:t>
      </w:r>
      <w:r w:rsidR="00F96C67">
        <w:t xml:space="preserve"> (ACWSL0077)</w:t>
      </w:r>
    </w:p>
    <w:p w14:paraId="3190C575" w14:textId="6F8182AD" w:rsidR="00447B84" w:rsidRDefault="00447B84" w:rsidP="005C4393">
      <w:pPr>
        <w:pStyle w:val="DoEbodytext2018"/>
        <w:jc w:val="both"/>
      </w:pPr>
    </w:p>
    <w:sectPr w:rsidR="00447B84"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18DA" w14:textId="77777777" w:rsidR="0048630A" w:rsidRDefault="0048630A" w:rsidP="00F247F6">
      <w:r>
        <w:separator/>
      </w:r>
    </w:p>
    <w:p w14:paraId="118F51DE" w14:textId="77777777" w:rsidR="0048630A" w:rsidRDefault="0048630A"/>
    <w:p w14:paraId="42446FFD" w14:textId="77777777" w:rsidR="0048630A" w:rsidRDefault="0048630A"/>
    <w:p w14:paraId="56891B8B" w14:textId="77777777" w:rsidR="0048630A" w:rsidRDefault="0048630A"/>
  </w:endnote>
  <w:endnote w:type="continuationSeparator" w:id="0">
    <w:p w14:paraId="481DA2A0" w14:textId="77777777" w:rsidR="0048630A" w:rsidRDefault="0048630A" w:rsidP="00F247F6">
      <w:r>
        <w:continuationSeparator/>
      </w:r>
    </w:p>
    <w:p w14:paraId="33F4BA54" w14:textId="77777777" w:rsidR="0048630A" w:rsidRDefault="0048630A"/>
    <w:p w14:paraId="4E9CF910" w14:textId="77777777" w:rsidR="0048630A" w:rsidRDefault="0048630A"/>
    <w:p w14:paraId="770BBEC4" w14:textId="77777777" w:rsidR="0048630A" w:rsidRDefault="0048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8650" w14:textId="3C74641C" w:rsidR="00BB366E" w:rsidRPr="0092025C" w:rsidRDefault="00A87621" w:rsidP="003E6398">
    <w:pPr>
      <w:pStyle w:val="DoEfooter2018"/>
    </w:pPr>
    <w:r>
      <w:tab/>
    </w:r>
    <w:r w:rsidRPr="00233AD0">
      <w:t xml:space="preserve">© </w:t>
    </w:r>
    <w:r w:rsidRPr="00AF3135">
      <w:t>NSW Department of Education</w:t>
    </w:r>
    <w:r>
      <w:t>,</w:t>
    </w:r>
    <w:r w:rsidR="00094190">
      <w:t xml:space="preserve"> March 2019</w:t>
    </w:r>
    <w:r>
      <w:tab/>
    </w:r>
    <w:r w:rsidR="00BB366E" w:rsidRPr="004E338C">
      <w:tab/>
    </w:r>
    <w:r w:rsidR="00BB366E" w:rsidRPr="004E338C">
      <w:fldChar w:fldCharType="begin"/>
    </w:r>
    <w:r w:rsidR="00BB366E" w:rsidRPr="004E338C">
      <w:instrText xml:space="preserve"> PAGE </w:instrText>
    </w:r>
    <w:r w:rsidR="00BB366E" w:rsidRPr="004E338C">
      <w:fldChar w:fldCharType="separate"/>
    </w:r>
    <w:r w:rsidR="001B7E99">
      <w:rPr>
        <w:noProof/>
      </w:rPr>
      <w:t>2</w:t>
    </w:r>
    <w:r w:rsidR="00BB366E" w:rsidRPr="004E338C">
      <w:fldChar w:fldCharType="end"/>
    </w:r>
    <w:r w:rsidR="00BB366E">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F8BF" w14:textId="670CCE4A" w:rsidR="00BB366E" w:rsidRPr="00182340" w:rsidRDefault="00BB366E" w:rsidP="00667FEF">
    <w:pPr>
      <w:pStyle w:val="DoEfooter2018"/>
    </w:pPr>
    <w:r w:rsidRPr="00233AD0">
      <w:t xml:space="preserve">© </w:t>
    </w:r>
    <w:r w:rsidRPr="00AF3135">
      <w:t>NSW Department of Education</w:t>
    </w:r>
    <w:r>
      <w:t xml:space="preserve">, </w:t>
    </w:r>
    <w:r w:rsidR="00094190">
      <w:t>March 2019</w:t>
    </w:r>
    <w:r w:rsidRPr="004E338C">
      <w:tab/>
    </w:r>
    <w:r>
      <w:tab/>
    </w:r>
    <w:r w:rsidRPr="004E338C">
      <w:fldChar w:fldCharType="begin"/>
    </w:r>
    <w:r w:rsidRPr="004E338C">
      <w:instrText xml:space="preserve"> PAGE </w:instrText>
    </w:r>
    <w:r w:rsidRPr="004E338C">
      <w:fldChar w:fldCharType="separate"/>
    </w:r>
    <w:r w:rsidR="001B7E9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32CF" w14:textId="77777777" w:rsidR="0048630A" w:rsidRDefault="0048630A" w:rsidP="00F247F6">
      <w:r>
        <w:separator/>
      </w:r>
    </w:p>
    <w:p w14:paraId="0AEC0825" w14:textId="77777777" w:rsidR="0048630A" w:rsidRDefault="0048630A"/>
    <w:p w14:paraId="1C0117DC" w14:textId="77777777" w:rsidR="0048630A" w:rsidRDefault="0048630A"/>
    <w:p w14:paraId="70FD1109" w14:textId="77777777" w:rsidR="0048630A" w:rsidRDefault="0048630A"/>
  </w:footnote>
  <w:footnote w:type="continuationSeparator" w:id="0">
    <w:p w14:paraId="49609D6F" w14:textId="77777777" w:rsidR="0048630A" w:rsidRDefault="0048630A" w:rsidP="00F247F6">
      <w:r>
        <w:continuationSeparator/>
      </w:r>
    </w:p>
    <w:p w14:paraId="1A848863" w14:textId="77777777" w:rsidR="0048630A" w:rsidRDefault="0048630A"/>
    <w:p w14:paraId="6971085E" w14:textId="77777777" w:rsidR="0048630A" w:rsidRDefault="0048630A"/>
    <w:p w14:paraId="305AE626" w14:textId="77777777" w:rsidR="0048630A" w:rsidRDefault="004863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1443"/>
    <w:multiLevelType w:val="hybridMultilevel"/>
    <w:tmpl w:val="082E4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8"/>
  </w:num>
  <w:num w:numId="15">
    <w:abstractNumId w:val="13"/>
  </w:num>
  <w:num w:numId="16">
    <w:abstractNumId w:val="9"/>
  </w:num>
  <w:num w:numId="17">
    <w:abstractNumId w:val="3"/>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5"/>
  </w:num>
  <w:num w:numId="36">
    <w:abstractNumId w:val="5"/>
  </w:num>
  <w:num w:numId="37">
    <w:abstractNumId w:val="11"/>
  </w:num>
  <w:num w:numId="38">
    <w:abstractNumId w:val="13"/>
  </w:num>
  <w:num w:numId="39">
    <w:abstractNumId w:val="11"/>
  </w:num>
  <w:num w:numId="40">
    <w:abstractNumId w:val="9"/>
  </w:num>
  <w:num w:numId="41">
    <w:abstractNumId w:val="10"/>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0A"/>
    <w:rsid w:val="000013BC"/>
    <w:rsid w:val="00004A37"/>
    <w:rsid w:val="00005034"/>
    <w:rsid w:val="000078D5"/>
    <w:rsid w:val="0001358F"/>
    <w:rsid w:val="00014490"/>
    <w:rsid w:val="00020502"/>
    <w:rsid w:val="000208A3"/>
    <w:rsid w:val="0002726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190"/>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A7E"/>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793"/>
    <w:rsid w:val="00195B59"/>
    <w:rsid w:val="001A133D"/>
    <w:rsid w:val="001A3CFA"/>
    <w:rsid w:val="001A43B2"/>
    <w:rsid w:val="001A6625"/>
    <w:rsid w:val="001A7FF4"/>
    <w:rsid w:val="001B26A9"/>
    <w:rsid w:val="001B26E1"/>
    <w:rsid w:val="001B36B7"/>
    <w:rsid w:val="001B4AEB"/>
    <w:rsid w:val="001B7E99"/>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E1B"/>
    <w:rsid w:val="00201FB9"/>
    <w:rsid w:val="002032D1"/>
    <w:rsid w:val="002077C3"/>
    <w:rsid w:val="0021219D"/>
    <w:rsid w:val="002146DC"/>
    <w:rsid w:val="0021679A"/>
    <w:rsid w:val="00216F7C"/>
    <w:rsid w:val="00217EA7"/>
    <w:rsid w:val="00220C48"/>
    <w:rsid w:val="00226257"/>
    <w:rsid w:val="00227BC4"/>
    <w:rsid w:val="00230F5C"/>
    <w:rsid w:val="00231AB4"/>
    <w:rsid w:val="00233AD0"/>
    <w:rsid w:val="00234C0D"/>
    <w:rsid w:val="00234CB6"/>
    <w:rsid w:val="00244134"/>
    <w:rsid w:val="00244CC0"/>
    <w:rsid w:val="00246D9F"/>
    <w:rsid w:val="002476D0"/>
    <w:rsid w:val="00247701"/>
    <w:rsid w:val="00253BE1"/>
    <w:rsid w:val="00262A70"/>
    <w:rsid w:val="00264518"/>
    <w:rsid w:val="00264688"/>
    <w:rsid w:val="00266BF8"/>
    <w:rsid w:val="00271581"/>
    <w:rsid w:val="002726CD"/>
    <w:rsid w:val="00273693"/>
    <w:rsid w:val="0027549C"/>
    <w:rsid w:val="00275D22"/>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107B"/>
    <w:rsid w:val="002A384C"/>
    <w:rsid w:val="002A43A4"/>
    <w:rsid w:val="002A43C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3ECF"/>
    <w:rsid w:val="002F659E"/>
    <w:rsid w:val="002F6763"/>
    <w:rsid w:val="002F7C70"/>
    <w:rsid w:val="002F7CEF"/>
    <w:rsid w:val="00301D72"/>
    <w:rsid w:val="00303439"/>
    <w:rsid w:val="003037AE"/>
    <w:rsid w:val="0030418B"/>
    <w:rsid w:val="00306862"/>
    <w:rsid w:val="00306BE9"/>
    <w:rsid w:val="00312B69"/>
    <w:rsid w:val="0031334D"/>
    <w:rsid w:val="0031384E"/>
    <w:rsid w:val="003172E1"/>
    <w:rsid w:val="00320618"/>
    <w:rsid w:val="00323B36"/>
    <w:rsid w:val="0032492F"/>
    <w:rsid w:val="00324D42"/>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358"/>
    <w:rsid w:val="00354A79"/>
    <w:rsid w:val="00361D3C"/>
    <w:rsid w:val="00361E9A"/>
    <w:rsid w:val="003623FF"/>
    <w:rsid w:val="003628AA"/>
    <w:rsid w:val="00362D23"/>
    <w:rsid w:val="0036408B"/>
    <w:rsid w:val="00365867"/>
    <w:rsid w:val="00371046"/>
    <w:rsid w:val="0037137E"/>
    <w:rsid w:val="00372D64"/>
    <w:rsid w:val="00373C7D"/>
    <w:rsid w:val="003743BE"/>
    <w:rsid w:val="003748D3"/>
    <w:rsid w:val="00375219"/>
    <w:rsid w:val="00376683"/>
    <w:rsid w:val="0037729D"/>
    <w:rsid w:val="00377815"/>
    <w:rsid w:val="00381721"/>
    <w:rsid w:val="00384499"/>
    <w:rsid w:val="00385DA6"/>
    <w:rsid w:val="00386C26"/>
    <w:rsid w:val="003900EA"/>
    <w:rsid w:val="003918BA"/>
    <w:rsid w:val="00392E68"/>
    <w:rsid w:val="00393CA5"/>
    <w:rsid w:val="00395FF8"/>
    <w:rsid w:val="00396A4E"/>
    <w:rsid w:val="00396C71"/>
    <w:rsid w:val="003A0513"/>
    <w:rsid w:val="003A1D67"/>
    <w:rsid w:val="003A230D"/>
    <w:rsid w:val="003A3D70"/>
    <w:rsid w:val="003A4D0A"/>
    <w:rsid w:val="003A4D57"/>
    <w:rsid w:val="003B1761"/>
    <w:rsid w:val="003B2018"/>
    <w:rsid w:val="003B6B3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7B84"/>
    <w:rsid w:val="00450B1C"/>
    <w:rsid w:val="004523C8"/>
    <w:rsid w:val="00457521"/>
    <w:rsid w:val="00460764"/>
    <w:rsid w:val="00462988"/>
    <w:rsid w:val="00464051"/>
    <w:rsid w:val="0046487D"/>
    <w:rsid w:val="00466ED9"/>
    <w:rsid w:val="004670DE"/>
    <w:rsid w:val="0048630A"/>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D5D6D"/>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4A64"/>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53A6"/>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012B"/>
    <w:rsid w:val="005A2BE8"/>
    <w:rsid w:val="005A3B09"/>
    <w:rsid w:val="005A4056"/>
    <w:rsid w:val="005A4981"/>
    <w:rsid w:val="005A5D89"/>
    <w:rsid w:val="005B0D30"/>
    <w:rsid w:val="005B386C"/>
    <w:rsid w:val="005B50AD"/>
    <w:rsid w:val="005C29EB"/>
    <w:rsid w:val="005C3FAD"/>
    <w:rsid w:val="005C4393"/>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0B19"/>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0504"/>
    <w:rsid w:val="00690D02"/>
    <w:rsid w:val="00691235"/>
    <w:rsid w:val="00693224"/>
    <w:rsid w:val="00693A28"/>
    <w:rsid w:val="00693F00"/>
    <w:rsid w:val="00694E68"/>
    <w:rsid w:val="006A30D2"/>
    <w:rsid w:val="006A3757"/>
    <w:rsid w:val="006A4683"/>
    <w:rsid w:val="006B101F"/>
    <w:rsid w:val="006B5A13"/>
    <w:rsid w:val="006B746F"/>
    <w:rsid w:val="006C116B"/>
    <w:rsid w:val="006C2483"/>
    <w:rsid w:val="006C2DE3"/>
    <w:rsid w:val="006C2F3E"/>
    <w:rsid w:val="006C39E3"/>
    <w:rsid w:val="006C3F1A"/>
    <w:rsid w:val="006C4A48"/>
    <w:rsid w:val="006C55B7"/>
    <w:rsid w:val="006C616D"/>
    <w:rsid w:val="006C6398"/>
    <w:rsid w:val="006C6B8B"/>
    <w:rsid w:val="006C72CB"/>
    <w:rsid w:val="006D0B0D"/>
    <w:rsid w:val="006D2C8A"/>
    <w:rsid w:val="006D2D7A"/>
    <w:rsid w:val="006D3380"/>
    <w:rsid w:val="006D36F5"/>
    <w:rsid w:val="006D3FE3"/>
    <w:rsid w:val="006E1206"/>
    <w:rsid w:val="006E7521"/>
    <w:rsid w:val="006F0CF3"/>
    <w:rsid w:val="006F225E"/>
    <w:rsid w:val="006F329B"/>
    <w:rsid w:val="006F6A94"/>
    <w:rsid w:val="00700EE9"/>
    <w:rsid w:val="007027A2"/>
    <w:rsid w:val="0070532E"/>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55E0"/>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75D5"/>
    <w:rsid w:val="00830504"/>
    <w:rsid w:val="0083434F"/>
    <w:rsid w:val="0083461F"/>
    <w:rsid w:val="00835B47"/>
    <w:rsid w:val="008375D1"/>
    <w:rsid w:val="008378C0"/>
    <w:rsid w:val="0083795B"/>
    <w:rsid w:val="008379E7"/>
    <w:rsid w:val="00837DA0"/>
    <w:rsid w:val="00840A44"/>
    <w:rsid w:val="00843035"/>
    <w:rsid w:val="008431D7"/>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06F"/>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083"/>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45880"/>
    <w:rsid w:val="00A540DA"/>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6F51"/>
    <w:rsid w:val="00A87621"/>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C34"/>
    <w:rsid w:val="00AD6F8D"/>
    <w:rsid w:val="00AD7172"/>
    <w:rsid w:val="00AD7603"/>
    <w:rsid w:val="00AE0A9E"/>
    <w:rsid w:val="00AE3390"/>
    <w:rsid w:val="00AE4102"/>
    <w:rsid w:val="00AE45F5"/>
    <w:rsid w:val="00AE49CC"/>
    <w:rsid w:val="00AE6BF7"/>
    <w:rsid w:val="00AE6C1A"/>
    <w:rsid w:val="00AF0927"/>
    <w:rsid w:val="00AF0B50"/>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362A"/>
    <w:rsid w:val="00BF57B4"/>
    <w:rsid w:val="00BF5A68"/>
    <w:rsid w:val="00BF6A19"/>
    <w:rsid w:val="00C05BFD"/>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31E"/>
    <w:rsid w:val="00C55E32"/>
    <w:rsid w:val="00C5710A"/>
    <w:rsid w:val="00C602F0"/>
    <w:rsid w:val="00C61323"/>
    <w:rsid w:val="00C620AA"/>
    <w:rsid w:val="00C64D73"/>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245"/>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6F0D"/>
    <w:rsid w:val="00D47231"/>
    <w:rsid w:val="00D477E4"/>
    <w:rsid w:val="00D50368"/>
    <w:rsid w:val="00D54ABB"/>
    <w:rsid w:val="00D558B7"/>
    <w:rsid w:val="00D56C2B"/>
    <w:rsid w:val="00D56D00"/>
    <w:rsid w:val="00D606AF"/>
    <w:rsid w:val="00D61C6D"/>
    <w:rsid w:val="00D635BE"/>
    <w:rsid w:val="00D647E6"/>
    <w:rsid w:val="00D6625E"/>
    <w:rsid w:val="00D71177"/>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02C"/>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18BD"/>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0F70"/>
    <w:rsid w:val="00F0200B"/>
    <w:rsid w:val="00F02948"/>
    <w:rsid w:val="00F144DA"/>
    <w:rsid w:val="00F15692"/>
    <w:rsid w:val="00F1606A"/>
    <w:rsid w:val="00F20FF3"/>
    <w:rsid w:val="00F2117C"/>
    <w:rsid w:val="00F22076"/>
    <w:rsid w:val="00F2381A"/>
    <w:rsid w:val="00F2425F"/>
    <w:rsid w:val="00F247F6"/>
    <w:rsid w:val="00F24E91"/>
    <w:rsid w:val="00F26818"/>
    <w:rsid w:val="00F30FD1"/>
    <w:rsid w:val="00F31EF7"/>
    <w:rsid w:val="00F32692"/>
    <w:rsid w:val="00F33BC5"/>
    <w:rsid w:val="00F3566F"/>
    <w:rsid w:val="00F37139"/>
    <w:rsid w:val="00F414BB"/>
    <w:rsid w:val="00F4297C"/>
    <w:rsid w:val="00F42ACD"/>
    <w:rsid w:val="00F43DBA"/>
    <w:rsid w:val="00F45405"/>
    <w:rsid w:val="00F45713"/>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96C67"/>
    <w:rsid w:val="00FA1C1A"/>
    <w:rsid w:val="00FA256F"/>
    <w:rsid w:val="00FA52AA"/>
    <w:rsid w:val="00FA6BFF"/>
    <w:rsid w:val="00FB4F85"/>
    <w:rsid w:val="00FC18E2"/>
    <w:rsid w:val="00FC3E6B"/>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7F53851"/>
  <w15:docId w15:val="{1A113373-17AB-4897-A744-9303E38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3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THEMATICS\Accessibility\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7D15C534FD4C958DD8ECC42FB42B" ma:contentTypeVersion="4" ma:contentTypeDescription="Create a new document." ma:contentTypeScope="" ma:versionID="67707ea6a2b7e91aa0a527606daed51f">
  <xsd:schema xmlns:xsd="http://www.w3.org/2001/XMLSchema" xmlns:xs="http://www.w3.org/2001/XMLSchema" xmlns:p="http://schemas.microsoft.com/office/2006/metadata/properties" xmlns:ns2="fa2e7245-2b83-42b8-afd4-4f66e0630b1e" targetNamespace="http://schemas.microsoft.com/office/2006/metadata/properties" ma:root="true" ma:fieldsID="e3c063dfcd5f3eaa21667ae47c81391f" ns2:_="">
    <xsd:import namespace="fa2e7245-2b83-42b8-afd4-4f66e0630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7245-2b83-42b8-afd4-4f66e063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F0AF-2E9E-4905-8282-82226BE8B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7245-2b83-42b8-afd4-4f66e06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64021-DC19-48B4-8F88-5CAF4983F0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a2e7245-2b83-42b8-afd4-4f66e0630b1e"/>
    <ds:schemaRef ds:uri="http://www.w3.org/XML/1998/namespace"/>
    <ds:schemaRef ds:uri="http://purl.org/dc/dcmitype/"/>
  </ds:schemaRefs>
</ds:datastoreItem>
</file>

<file path=customXml/itemProps3.xml><?xml version="1.0" encoding="utf-8"?>
<ds:datastoreItem xmlns:ds="http://schemas.openxmlformats.org/officeDocument/2006/customXml" ds:itemID="{957FC481-F963-4285-A2F5-7550DF3B446A}">
  <ds:schemaRefs>
    <ds:schemaRef ds:uri="http://schemas.microsoft.com/sharepoint/v3/contenttype/forms"/>
  </ds:schemaRefs>
</ds:datastoreItem>
</file>

<file path=customXml/itemProps4.xml><?xml version="1.0" encoding="utf-8"?>
<ds:datastoreItem xmlns:ds="http://schemas.openxmlformats.org/officeDocument/2006/customXml" ds:itemID="{C7A09BC8-B619-493F-AA52-828721E9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DOE-annotated-template-V2-20180227.dotx</Template>
  <TotalTime>7</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Key Information for Implementing the vWork Education Syllabus</vt:lpstr>
    </vt:vector>
  </TitlesOfParts>
  <Manager/>
  <Company>NSW Department of Education</Company>
  <LinksUpToDate>false</LinksUpToDate>
  <CharactersWithSpaces>5066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for Implementing the Work Education Syllabus</dc:title>
  <dc:subject/>
  <dc:creator>NSW Department of Education</dc:creator>
  <cp:keywords/>
  <dc:description/>
  <cp:lastModifiedBy>Mary Wang</cp:lastModifiedBy>
  <cp:revision>9</cp:revision>
  <cp:lastPrinted>2017-12-20T04:16:00Z</cp:lastPrinted>
  <dcterms:created xsi:type="dcterms:W3CDTF">2019-04-02T00:02:00Z</dcterms:created>
  <dcterms:modified xsi:type="dcterms:W3CDTF">2019-04-02T00:23:00Z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0x0101005DBC7D15C534FD4C958DD8ECC42FB42B</vt:lpwstr>
  </property>
</Properties>
</file>