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581E2" w14:textId="77777777" w:rsidR="00EC1887" w:rsidRDefault="007052B6" w:rsidP="00856F98">
      <w:pPr>
        <w:pStyle w:val="IOSHeading1"/>
        <w:tabs>
          <w:tab w:val="left" w:pos="2552"/>
        </w:tabs>
        <w:spacing w:after="480"/>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852250">
        <w:t>Series and series applications</w:t>
      </w:r>
    </w:p>
    <w:p w14:paraId="648466EF" w14:textId="77777777" w:rsidR="00856F98" w:rsidRDefault="00B70F81" w:rsidP="00B70F81">
      <w:pPr>
        <w:pStyle w:val="IOSheading2"/>
      </w:pPr>
      <w:r>
        <w:t>Resources</w:t>
      </w:r>
    </w:p>
    <w:p w14:paraId="714B7A47" w14:textId="77777777" w:rsidR="00B70F81" w:rsidRDefault="00B70F81" w:rsidP="00B70F81">
      <w:pPr>
        <w:pStyle w:val="IOSbodytext"/>
        <w:sectPr w:rsidR="00B70F81" w:rsidSect="00E44FA3">
          <w:footerReference w:type="default" r:id="rId9"/>
          <w:type w:val="continuous"/>
          <w:pgSz w:w="16840" w:h="11900" w:orient="landscape"/>
          <w:pgMar w:top="567" w:right="958" w:bottom="567" w:left="567" w:header="567" w:footer="567" w:gutter="0"/>
          <w:cols w:space="708"/>
          <w:docGrid w:linePitch="326"/>
        </w:sectPr>
      </w:pPr>
    </w:p>
    <w:p w14:paraId="779EF3D2" w14:textId="6E5FB8D6" w:rsidR="00B70F81" w:rsidRDefault="00E44FA3" w:rsidP="00B70F81">
      <w:pPr>
        <w:pStyle w:val="IOSbodytext"/>
      </w:pPr>
      <w:hyperlink r:id="rId10" w:history="1">
        <w:r w:rsidR="00B70F81" w:rsidRPr="00E44FA3">
          <w:rPr>
            <w:rStyle w:val="Hyperlink"/>
          </w:rPr>
          <w:t>AMSI website</w:t>
        </w:r>
      </w:hyperlink>
      <w:r>
        <w:t xml:space="preserve"> – </w:t>
      </w:r>
      <w:r w:rsidR="00B70F81">
        <w:t xml:space="preserve">Supporting Australian Mathematics Project (A guide for teachers year 11 and 12) has a good comprehensive overview of sequences and series </w:t>
      </w:r>
      <w:r w:rsidR="00B70F81">
        <w:br w:type="column"/>
      </w:r>
      <w:hyperlink r:id="rId11" w:history="1">
        <w:r w:rsidRPr="00E44FA3">
          <w:rPr>
            <w:rStyle w:val="Hyperlink"/>
          </w:rPr>
          <w:t>Maths is Fun website</w:t>
        </w:r>
      </w:hyperlink>
      <w:r>
        <w:t xml:space="preserve">. </w:t>
      </w:r>
      <w:r w:rsidR="00B70F81">
        <w:t xml:space="preserve">This link has a very comprehensive set of definitions and although the syllabus does not specifically use the word sequence, it is used to differentiate between a list of numbers with a rule (sequence) and a sum of these numbers (series) </w:t>
      </w:r>
      <w:r w:rsidR="00B70F81">
        <w:br w:type="column"/>
      </w:r>
      <w:hyperlink r:id="rId12" w:history="1">
        <w:r w:rsidR="00B70F81" w:rsidRPr="00E44FA3">
          <w:rPr>
            <w:rStyle w:val="Hyperlink"/>
          </w:rPr>
          <w:t xml:space="preserve">Sigma notation is explored in this </w:t>
        </w:r>
        <w:r w:rsidRPr="00E44FA3">
          <w:rPr>
            <w:rStyle w:val="Hyperlink"/>
          </w:rPr>
          <w:t>section</w:t>
        </w:r>
      </w:hyperlink>
    </w:p>
    <w:p w14:paraId="27FCAD36" w14:textId="11350763" w:rsidR="00B70F81" w:rsidRDefault="00E44FA3" w:rsidP="00B70F81">
      <w:pPr>
        <w:pStyle w:val="IOSbodytext"/>
      </w:pPr>
      <w:r>
        <w:t>A</w:t>
      </w:r>
      <w:r w:rsidR="00B70F81">
        <w:t xml:space="preserve">nd </w:t>
      </w:r>
      <w:hyperlink r:id="rId13" w:history="1">
        <w:r>
          <w:rPr>
            <w:rStyle w:val="Hyperlink"/>
          </w:rPr>
          <w:t>series on the Maths is Fun website</w:t>
        </w:r>
      </w:hyperlink>
    </w:p>
    <w:p w14:paraId="238DB614" w14:textId="77777777" w:rsidR="00B70F81" w:rsidRDefault="00B70F81" w:rsidP="00B70F81">
      <w:pPr>
        <w:pStyle w:val="IOSbodytext"/>
        <w:sectPr w:rsidR="00B70F81" w:rsidSect="00B70F81">
          <w:type w:val="continuous"/>
          <w:pgSz w:w="16840" w:h="11900" w:orient="landscape"/>
          <w:pgMar w:top="567" w:right="958" w:bottom="567" w:left="567" w:header="454" w:footer="227" w:gutter="0"/>
          <w:cols w:num="3" w:space="708"/>
          <w:docGrid w:linePitch="326"/>
        </w:sectPr>
      </w:pPr>
    </w:p>
    <w:p w14:paraId="0E8EDF5B" w14:textId="77777777" w:rsidR="00B70F81" w:rsidRDefault="00B70F81" w:rsidP="00B70F81">
      <w:pPr>
        <w:pStyle w:val="IOSheading2"/>
      </w:pPr>
      <w:r>
        <w:t>Scope and sequence note</w:t>
      </w:r>
    </w:p>
    <w:p w14:paraId="1A1B617B" w14:textId="33B7ED2B" w:rsidR="00B70F81" w:rsidRDefault="00B70F81" w:rsidP="00B70F81">
      <w:pPr>
        <w:pStyle w:val="IOSbodytext"/>
      </w:pPr>
      <w:r>
        <w:t>Many teachers (and Textbooks) treat “Applications of geometric series: compound interest, simplified hire purchase and repayment problems. (Part of 7.5 in syllabus)” as a topic separate from the rest of Series and Applications. It is often also delivered later in the course when students are more confident with working with more cumbersome algebra</w:t>
      </w:r>
      <w:r w:rsidR="00E44FA3">
        <w:t xml:space="preserve"> – </w:t>
      </w:r>
      <w:r>
        <w:t>after Differentiation and Integration</w:t>
      </w:r>
    </w:p>
    <w:p w14:paraId="277760BC" w14:textId="77777777" w:rsidR="00B70F81" w:rsidRDefault="00B70F81" w:rsidP="00B70F81">
      <w:pPr>
        <w:pStyle w:val="IOSbodytext"/>
      </w:pPr>
      <w:r>
        <w:t>Other parts of this topic can be delivered far earlier in the course.</w:t>
      </w:r>
    </w:p>
    <w:p w14:paraId="29C6D6DA" w14:textId="77777777" w:rsidR="00B70F81" w:rsidRDefault="00B70F81" w:rsidP="00B70F81">
      <w:pPr>
        <w:pStyle w:val="IOSbodytext"/>
      </w:pPr>
      <w:r>
        <w:t>Before starting Arithmetic or Geometric Series a general discussion of definitions is needed.</w:t>
      </w:r>
    </w:p>
    <w:p w14:paraId="7DE7B3A8" w14:textId="742A9610" w:rsidR="00B70F81" w:rsidRDefault="00B70F81" w:rsidP="00B70F81">
      <w:pPr>
        <w:pStyle w:val="IOSbodytext"/>
      </w:pPr>
      <w:r>
        <w:t>Definitions of term, nth term, sum, series sequence need to be clarified.</w:t>
      </w:r>
      <w:r>
        <w:br w:type="page"/>
      </w:r>
    </w:p>
    <w:tbl>
      <w:tblPr>
        <w:tblW w:w="15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is table has some blank cells, as not all content, teaching strategies and activities, and resources are reliant on one another. "/>
      </w:tblPr>
      <w:tblGrid>
        <w:gridCol w:w="3361"/>
        <w:gridCol w:w="6945"/>
        <w:gridCol w:w="5245"/>
      </w:tblGrid>
      <w:tr w:rsidR="00B70F81" w:rsidRPr="001F7A92" w14:paraId="3AE1D228" w14:textId="77777777" w:rsidTr="00B70F81">
        <w:trPr>
          <w:tblHeader/>
        </w:trPr>
        <w:tc>
          <w:tcPr>
            <w:tcW w:w="3361" w:type="dxa"/>
            <w:shd w:val="clear" w:color="auto" w:fill="000000" w:themeFill="text1"/>
            <w:tcMar>
              <w:top w:w="100" w:type="dxa"/>
              <w:left w:w="100" w:type="dxa"/>
              <w:bottom w:w="100" w:type="dxa"/>
              <w:right w:w="100" w:type="dxa"/>
            </w:tcMar>
          </w:tcPr>
          <w:p w14:paraId="3CE428EB" w14:textId="77777777" w:rsidR="00B70F81" w:rsidRPr="001F7A92" w:rsidRDefault="00B70F81" w:rsidP="00B70F81">
            <w:pPr>
              <w:pStyle w:val="IOStableheader"/>
              <w:jc w:val="center"/>
            </w:pPr>
            <w:bookmarkStart w:id="0" w:name="ColumnTitle_1"/>
            <w:r w:rsidRPr="001F7A92">
              <w:lastRenderedPageBreak/>
              <w:t>Content</w:t>
            </w:r>
          </w:p>
        </w:tc>
        <w:tc>
          <w:tcPr>
            <w:tcW w:w="6945" w:type="dxa"/>
            <w:shd w:val="clear" w:color="auto" w:fill="000000" w:themeFill="text1"/>
            <w:tcMar>
              <w:top w:w="100" w:type="dxa"/>
              <w:left w:w="100" w:type="dxa"/>
              <w:bottom w:w="100" w:type="dxa"/>
              <w:right w:w="100" w:type="dxa"/>
            </w:tcMar>
          </w:tcPr>
          <w:p w14:paraId="1802A700" w14:textId="77777777" w:rsidR="00B70F81" w:rsidRPr="001F7A92" w:rsidRDefault="00B70F81" w:rsidP="00B70F81">
            <w:pPr>
              <w:pStyle w:val="IOStableheader"/>
              <w:jc w:val="center"/>
            </w:pPr>
            <w:r w:rsidRPr="001F7A92">
              <w:t>Teaching Strategies and Activities</w:t>
            </w:r>
          </w:p>
        </w:tc>
        <w:tc>
          <w:tcPr>
            <w:tcW w:w="5245" w:type="dxa"/>
            <w:shd w:val="clear" w:color="auto" w:fill="000000" w:themeFill="text1"/>
            <w:tcMar>
              <w:top w:w="100" w:type="dxa"/>
              <w:left w:w="100" w:type="dxa"/>
              <w:bottom w:w="100" w:type="dxa"/>
              <w:right w:w="100" w:type="dxa"/>
            </w:tcMar>
          </w:tcPr>
          <w:p w14:paraId="38CD667E" w14:textId="77777777" w:rsidR="00B70F81" w:rsidRPr="001F7A92" w:rsidRDefault="00B70F81" w:rsidP="00B70F81">
            <w:pPr>
              <w:pStyle w:val="IOStableheader"/>
              <w:jc w:val="center"/>
            </w:pPr>
            <w:r w:rsidRPr="001F7A92">
              <w:t>Resources</w:t>
            </w:r>
          </w:p>
        </w:tc>
      </w:tr>
      <w:bookmarkEnd w:id="0"/>
      <w:tr w:rsidR="00B70F81" w:rsidRPr="00051FCB" w14:paraId="6C1A5D1D" w14:textId="77777777" w:rsidTr="00B70F81">
        <w:tc>
          <w:tcPr>
            <w:tcW w:w="3361" w:type="dxa"/>
            <w:tcBorders>
              <w:left w:val="single" w:sz="6" w:space="0" w:color="000000"/>
              <w:bottom w:val="single" w:sz="6" w:space="0" w:color="000000"/>
              <w:right w:val="single" w:sz="6" w:space="0" w:color="000000"/>
            </w:tcBorders>
            <w:tcMar>
              <w:left w:w="40" w:type="dxa"/>
              <w:right w:w="40" w:type="dxa"/>
            </w:tcMar>
            <w:vAlign w:val="center"/>
          </w:tcPr>
          <w:p w14:paraId="04480EF8" w14:textId="77777777" w:rsidR="00B70F81" w:rsidRPr="00B70F81" w:rsidRDefault="00B70F81" w:rsidP="00B70F81">
            <w:pPr>
              <w:pStyle w:val="IOStabletext"/>
            </w:pPr>
            <w:r w:rsidRPr="00B70F81">
              <w:t>Arithmetic series: formula for the nth term and sum of n terms.</w:t>
            </w:r>
          </w:p>
        </w:tc>
        <w:tc>
          <w:tcPr>
            <w:tcW w:w="6945" w:type="dxa"/>
            <w:tcMar>
              <w:top w:w="100" w:type="dxa"/>
              <w:left w:w="100" w:type="dxa"/>
              <w:bottom w:w="100" w:type="dxa"/>
              <w:right w:w="100" w:type="dxa"/>
            </w:tcMar>
          </w:tcPr>
          <w:p w14:paraId="5B72E9AD" w14:textId="77777777" w:rsidR="00B70F81" w:rsidRPr="00B70F81" w:rsidRDefault="00B70F81" w:rsidP="00B70F81">
            <w:pPr>
              <w:pStyle w:val="IOStabletext"/>
            </w:pPr>
            <w:r w:rsidRPr="00B70F81">
              <w:t>Real world examples of arithmetic sequences should be discussed. Time should be spent on guiding students to the nth term and sum formulas themselves.</w:t>
            </w:r>
          </w:p>
          <w:p w14:paraId="627B8AC8" w14:textId="722D3241" w:rsidR="00B70F81" w:rsidRDefault="00B70F81" w:rsidP="00B70F81">
            <w:pPr>
              <w:pStyle w:val="IOStabletext"/>
            </w:pPr>
            <w:r w:rsidRPr="00B70F81">
              <w:t>Use (the possibly apocryphal) story of Gauss adding the numbers 1 through 100 as a stimulus</w:t>
            </w:r>
          </w:p>
          <w:p w14:paraId="3887FAF1" w14:textId="04709AB9" w:rsidR="00B70F81" w:rsidRPr="00B70F81" w:rsidRDefault="004B2FF5" w:rsidP="004B2FF5">
            <w:pPr>
              <w:pStyle w:val="IOStabletext"/>
            </w:pPr>
            <w:hyperlink r:id="rId14" w:history="1">
              <w:r w:rsidR="00AF0BE2">
                <w:rPr>
                  <w:rStyle w:val="Hyperlink"/>
                </w:rPr>
                <w:t>YouTube video on Gauss’s addition</w:t>
              </w:r>
            </w:hyperlink>
            <w:r>
              <w:t xml:space="preserve"> or </w:t>
            </w:r>
            <w:hyperlink r:id="rId15" w:history="1">
              <w:r w:rsidR="00AF0BE2">
                <w:rPr>
                  <w:rStyle w:val="Hyperlink"/>
                </w:rPr>
                <w:t>YouTube video on one to one million by numberphile</w:t>
              </w:r>
            </w:hyperlink>
          </w:p>
        </w:tc>
        <w:tc>
          <w:tcPr>
            <w:tcW w:w="5245" w:type="dxa"/>
            <w:tcMar>
              <w:top w:w="100" w:type="dxa"/>
              <w:left w:w="100" w:type="dxa"/>
              <w:bottom w:w="100" w:type="dxa"/>
              <w:right w:w="100" w:type="dxa"/>
            </w:tcMar>
          </w:tcPr>
          <w:p w14:paraId="097DDA30" w14:textId="19BB2516" w:rsidR="00B70F81" w:rsidRPr="00B70F81" w:rsidRDefault="00AF0BE2" w:rsidP="00B70F81">
            <w:pPr>
              <w:pStyle w:val="IOStabletext"/>
            </w:pPr>
            <w:hyperlink r:id="rId16" w:history="1">
              <w:r>
                <w:rPr>
                  <w:rStyle w:val="Hyperlink"/>
                </w:rPr>
                <w:t>Cool Math page on arithmetic sequences</w:t>
              </w:r>
            </w:hyperlink>
          </w:p>
          <w:p w14:paraId="3C282B85" w14:textId="0AF7F916" w:rsidR="00B70F81" w:rsidRPr="00B70F81" w:rsidRDefault="00AF0BE2" w:rsidP="00B70F81">
            <w:pPr>
              <w:pStyle w:val="IOStabletext"/>
            </w:pPr>
            <w:hyperlink r:id="rId17" w:history="1">
              <w:r>
                <w:rPr>
                  <w:rStyle w:val="Hyperlink"/>
                </w:rPr>
                <w:t>Cool Math page on Gauss’s problem and arithmetic series</w:t>
              </w:r>
            </w:hyperlink>
          </w:p>
        </w:tc>
      </w:tr>
      <w:tr w:rsidR="00B70F81" w:rsidRPr="00051FCB" w14:paraId="39230675" w14:textId="77777777" w:rsidTr="00B70F81">
        <w:trPr>
          <w:trHeight w:val="1509"/>
        </w:trPr>
        <w:tc>
          <w:tcPr>
            <w:tcW w:w="3361" w:type="dxa"/>
            <w:tcBorders>
              <w:left w:val="single" w:sz="6" w:space="0" w:color="000000"/>
              <w:bottom w:val="single" w:sz="6" w:space="0" w:color="000000"/>
              <w:right w:val="single" w:sz="6" w:space="0" w:color="000000"/>
            </w:tcBorders>
            <w:tcMar>
              <w:left w:w="40" w:type="dxa"/>
              <w:right w:w="40" w:type="dxa"/>
            </w:tcMar>
            <w:vAlign w:val="center"/>
          </w:tcPr>
          <w:p w14:paraId="4A730C88" w14:textId="77777777" w:rsidR="00B70F81" w:rsidRPr="00B70F81" w:rsidRDefault="00B70F81" w:rsidP="00B70F81">
            <w:pPr>
              <w:pStyle w:val="IOStabletext"/>
            </w:pPr>
            <w:r w:rsidRPr="00B70F81">
              <w:t>Geometric series: formula for the nth term and the sum of n terms.</w:t>
            </w:r>
          </w:p>
        </w:tc>
        <w:tc>
          <w:tcPr>
            <w:tcW w:w="6945" w:type="dxa"/>
            <w:tcMar>
              <w:top w:w="100" w:type="dxa"/>
              <w:left w:w="100" w:type="dxa"/>
              <w:bottom w:w="100" w:type="dxa"/>
              <w:right w:w="100" w:type="dxa"/>
            </w:tcMar>
          </w:tcPr>
          <w:p w14:paraId="3AB4A5EF" w14:textId="77777777" w:rsidR="00B70F81" w:rsidRPr="00B70F81" w:rsidRDefault="00B70F81" w:rsidP="00B70F81">
            <w:pPr>
              <w:pStyle w:val="IOStabletext"/>
            </w:pPr>
            <w:r w:rsidRPr="00B70F81">
              <w:t>The following proof of the geometric series partial sum formula uses only sigma notation and simultaneous equations (many use the difference of two powers which is not studied in Mathematics (2U))</w:t>
            </w:r>
          </w:p>
          <w:p w14:paraId="3F4E8436" w14:textId="396F1AF2" w:rsidR="00B70F81" w:rsidRPr="00B70F81" w:rsidRDefault="001E1AED" w:rsidP="00B70F81">
            <w:pPr>
              <w:pStyle w:val="IOStabletext"/>
            </w:pPr>
            <w:hyperlink r:id="rId18" w:history="1">
              <w:r w:rsidRPr="001E1AED">
                <w:rPr>
                  <w:rStyle w:val="Hyperlink"/>
                </w:rPr>
                <w:t>Website on derivation of sum of finite and infinite geometric progression</w:t>
              </w:r>
            </w:hyperlink>
            <w:r>
              <w:t>.</w:t>
            </w:r>
          </w:p>
        </w:tc>
        <w:tc>
          <w:tcPr>
            <w:tcW w:w="5245" w:type="dxa"/>
            <w:tcMar>
              <w:top w:w="100" w:type="dxa"/>
              <w:left w:w="100" w:type="dxa"/>
              <w:bottom w:w="100" w:type="dxa"/>
              <w:right w:w="100" w:type="dxa"/>
            </w:tcMar>
          </w:tcPr>
          <w:p w14:paraId="4232E2E9" w14:textId="4568F116" w:rsidR="00B70F81" w:rsidRPr="00B70F81" w:rsidRDefault="00AF0BE2" w:rsidP="00B70F81">
            <w:pPr>
              <w:pStyle w:val="IOStabletext"/>
            </w:pPr>
            <w:hyperlink r:id="rId19" w:history="1">
              <w:r>
                <w:rPr>
                  <w:rStyle w:val="Hyperlink"/>
                </w:rPr>
                <w:t>Cool Math page on geometric sequences</w:t>
              </w:r>
            </w:hyperlink>
          </w:p>
          <w:p w14:paraId="3537CF93" w14:textId="29B185EA" w:rsidR="00B70F81" w:rsidRPr="00B70F81" w:rsidRDefault="00AF0BE2" w:rsidP="00AF0BE2">
            <w:pPr>
              <w:pStyle w:val="IOStabletext"/>
            </w:pPr>
            <w:hyperlink r:id="rId20" w:history="1">
              <w:r>
                <w:rPr>
                  <w:rStyle w:val="Hyperlink"/>
                </w:rPr>
                <w:t>Cool Math page on geometric series</w:t>
              </w:r>
            </w:hyperlink>
          </w:p>
        </w:tc>
      </w:tr>
      <w:tr w:rsidR="00B70F81" w:rsidRPr="00051FCB" w14:paraId="7A8E45BA" w14:textId="77777777" w:rsidTr="00B70F81">
        <w:trPr>
          <w:trHeight w:val="2725"/>
        </w:trPr>
        <w:tc>
          <w:tcPr>
            <w:tcW w:w="3361" w:type="dxa"/>
            <w:tcBorders>
              <w:left w:val="single" w:sz="6" w:space="0" w:color="000000"/>
              <w:bottom w:val="single" w:sz="6" w:space="0" w:color="000000"/>
              <w:right w:val="single" w:sz="6" w:space="0" w:color="000000"/>
            </w:tcBorders>
            <w:tcMar>
              <w:left w:w="40" w:type="dxa"/>
              <w:right w:w="40" w:type="dxa"/>
            </w:tcMar>
            <w:vAlign w:val="center"/>
          </w:tcPr>
          <w:p w14:paraId="25F71BAC" w14:textId="58FBF234" w:rsidR="004E551F" w:rsidRPr="00B70F81" w:rsidRDefault="00B70F81" w:rsidP="00AF0BE2">
            <w:pPr>
              <w:pStyle w:val="IOStabletext"/>
            </w:pPr>
            <w:r w:rsidRPr="00B70F81">
              <w:t>Limiting sum o</w:t>
            </w:r>
            <w:r w:rsidR="00AF0BE2">
              <w:t>f geometric series when</w:t>
            </w:r>
            <w:r w:rsidR="004E551F" w:rsidRPr="004E551F">
              <w:rPr>
                <w:position w:val="-10"/>
              </w:rPr>
              <w:object w:dxaOrig="600" w:dyaOrig="320" w14:anchorId="7EFA8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6.5pt" o:ole="">
                  <v:imagedata r:id="rId21" o:title=""/>
                </v:shape>
                <o:OLEObject Type="Embed" ProgID="Equation.DSMT4" ShapeID="_x0000_i1025" DrawAspect="Content" ObjectID="_1569229956" r:id="rId22"/>
              </w:object>
            </w:r>
            <w:r w:rsidR="004E551F">
              <w:t xml:space="preserve"> </w:t>
            </w:r>
          </w:p>
        </w:tc>
        <w:tc>
          <w:tcPr>
            <w:tcW w:w="6945" w:type="dxa"/>
            <w:tcMar>
              <w:top w:w="100" w:type="dxa"/>
              <w:left w:w="100" w:type="dxa"/>
              <w:bottom w:w="100" w:type="dxa"/>
              <w:right w:w="100" w:type="dxa"/>
            </w:tcMar>
          </w:tcPr>
          <w:p w14:paraId="4571C96A" w14:textId="77777777" w:rsidR="00B70F81" w:rsidRPr="00B70F81" w:rsidRDefault="00B70F81" w:rsidP="00B70F81">
            <w:pPr>
              <w:pStyle w:val="IOStabletext"/>
            </w:pPr>
            <w:r w:rsidRPr="00B70F81">
              <w:t>The limiting sum formula should be derived from the partial geometric sum formula</w:t>
            </w:r>
            <w:r>
              <w:t xml:space="preserve"> </w:t>
            </w:r>
            <w:r w:rsidRPr="00B70F81">
              <w:t>and the knowledge of limits approaching zero</w:t>
            </w:r>
            <w:r>
              <w:t>.</w:t>
            </w:r>
          </w:p>
          <w:p w14:paraId="3948BF40" w14:textId="3330F5FA" w:rsidR="00B70F81" w:rsidRPr="00B70F81" w:rsidRDefault="00B70F81" w:rsidP="00B70F81">
            <w:pPr>
              <w:pStyle w:val="IOStabletext"/>
            </w:pPr>
            <w:r w:rsidRPr="00B70F81">
              <w:t>The case of</w:t>
            </w:r>
            <w:r w:rsidR="00AF0BE2" w:rsidRPr="004E551F">
              <w:rPr>
                <w:position w:val="-10"/>
              </w:rPr>
              <w:object w:dxaOrig="600" w:dyaOrig="320" w14:anchorId="1887F78F">
                <v:shape id="_x0000_i1256" type="#_x0000_t75" style="width:30pt;height:16.5pt" o:ole="">
                  <v:imagedata r:id="rId21" o:title=""/>
                </v:shape>
                <o:OLEObject Type="Embed" ProgID="Equation.DSMT4" ShapeID="_x0000_i1256" DrawAspect="Content" ObjectID="_1569229957" r:id="rId23"/>
              </w:object>
            </w:r>
            <w:r w:rsidRPr="00B70F81">
              <w:t>should be discussed using the word convergent</w:t>
            </w:r>
            <w:r w:rsidR="00E44FA3">
              <w:t xml:space="preserve"> – </w:t>
            </w:r>
            <w:r w:rsidRPr="00B70F81">
              <w:t>to show i</w:t>
            </w:r>
            <w:r>
              <w:t>t converges on a single number.</w:t>
            </w:r>
          </w:p>
          <w:p w14:paraId="208D6907" w14:textId="77777777" w:rsidR="00B70F81" w:rsidRPr="00B70F81" w:rsidRDefault="00B70F81" w:rsidP="00B70F81">
            <w:pPr>
              <w:pStyle w:val="IOStabletext"/>
            </w:pPr>
            <w:r w:rsidRPr="00B70F81">
              <w:t>The specific case of changing recurring decimals to fractions should be explored here, however students should decide whether using the limiting sum formula method or the simultaneous method is the best for them.</w:t>
            </w:r>
          </w:p>
          <w:p w14:paraId="6C02FF17" w14:textId="49898A01" w:rsidR="00B70F81" w:rsidRPr="00B70F81" w:rsidRDefault="00B70F81" w:rsidP="00AF0BE2">
            <w:pPr>
              <w:pStyle w:val="IOStabletext"/>
            </w:pPr>
            <w:r w:rsidRPr="00B70F81">
              <w:t>The 2 other cases of</w:t>
            </w:r>
            <w:r w:rsidR="00AF0BE2" w:rsidRPr="004E551F">
              <w:rPr>
                <w:position w:val="-10"/>
              </w:rPr>
              <w:object w:dxaOrig="600" w:dyaOrig="320" w14:anchorId="66D59659">
                <v:shape id="_x0000_i1261" type="#_x0000_t75" style="width:30pt;height:16.5pt" o:ole="">
                  <v:imagedata r:id="rId24" o:title=""/>
                </v:shape>
                <o:OLEObject Type="Embed" ProgID="Equation.DSMT4" ShapeID="_x0000_i1261" DrawAspect="Content" ObjectID="_1569229958" r:id="rId25"/>
              </w:object>
            </w:r>
            <w:r w:rsidRPr="00B70F81">
              <w:t xml:space="preserve">and </w:t>
            </w:r>
            <w:r w:rsidR="00AF0BE2" w:rsidRPr="004E551F">
              <w:rPr>
                <w:position w:val="-10"/>
              </w:rPr>
              <w:object w:dxaOrig="600" w:dyaOrig="320" w14:anchorId="4956E9B6">
                <v:shape id="_x0000_i1262" type="#_x0000_t75" style="width:30pt;height:16.5pt" o:ole="">
                  <v:imagedata r:id="rId26" o:title=""/>
                </v:shape>
                <o:OLEObject Type="Embed" ProgID="Equation.DSMT4" ShapeID="_x0000_i1262" DrawAspect="Content" ObjectID="_1569229959" r:id="rId27"/>
              </w:object>
            </w:r>
            <w:r w:rsidRPr="00B70F81">
              <w:t>should be discussed with the word divergent being used for that type of series.</w:t>
            </w:r>
          </w:p>
        </w:tc>
        <w:tc>
          <w:tcPr>
            <w:tcW w:w="5245" w:type="dxa"/>
            <w:tcMar>
              <w:top w:w="100" w:type="dxa"/>
              <w:left w:w="100" w:type="dxa"/>
              <w:bottom w:w="100" w:type="dxa"/>
              <w:right w:w="100" w:type="dxa"/>
            </w:tcMar>
          </w:tcPr>
          <w:p w14:paraId="1F938CD3" w14:textId="63D41271" w:rsidR="00B70F81" w:rsidRPr="00B70F81" w:rsidRDefault="00AF0BE2" w:rsidP="00B70F81">
            <w:pPr>
              <w:pStyle w:val="IOStabletext"/>
            </w:pPr>
            <w:hyperlink r:id="rId28" w:history="1">
              <w:r w:rsidRPr="00AF0BE2">
                <w:rPr>
                  <w:rStyle w:val="Hyperlink"/>
                </w:rPr>
                <w:t>Maths is Fun page on infinite series</w:t>
              </w:r>
            </w:hyperlink>
            <w:bookmarkStart w:id="1" w:name="_GoBack"/>
            <w:bookmarkEnd w:id="1"/>
          </w:p>
        </w:tc>
      </w:tr>
      <w:tr w:rsidR="00B70F81" w:rsidRPr="00051FCB" w14:paraId="798A71D9" w14:textId="77777777" w:rsidTr="00B70F81">
        <w:trPr>
          <w:trHeight w:val="2753"/>
        </w:trPr>
        <w:tc>
          <w:tcPr>
            <w:tcW w:w="3361" w:type="dxa"/>
            <w:tcBorders>
              <w:left w:val="single" w:sz="6" w:space="0" w:color="000000"/>
              <w:bottom w:val="single" w:sz="6" w:space="0" w:color="000000"/>
              <w:right w:val="single" w:sz="6" w:space="0" w:color="000000"/>
            </w:tcBorders>
            <w:tcMar>
              <w:left w:w="40" w:type="dxa"/>
              <w:right w:w="40" w:type="dxa"/>
            </w:tcMar>
            <w:vAlign w:val="center"/>
          </w:tcPr>
          <w:p w14:paraId="3F15F0EC" w14:textId="77777777" w:rsidR="00B70F81" w:rsidRPr="00B70F81" w:rsidRDefault="00B70F81" w:rsidP="00B70F81">
            <w:pPr>
              <w:pStyle w:val="IOStabletext"/>
            </w:pPr>
            <w:r w:rsidRPr="00B70F81">
              <w:lastRenderedPageBreak/>
              <w:t>Applications to annuities and repayments.</w:t>
            </w:r>
          </w:p>
        </w:tc>
        <w:tc>
          <w:tcPr>
            <w:tcW w:w="6945" w:type="dxa"/>
            <w:tcMar>
              <w:top w:w="100" w:type="dxa"/>
              <w:left w:w="100" w:type="dxa"/>
              <w:bottom w:w="100" w:type="dxa"/>
              <w:right w:w="100" w:type="dxa"/>
            </w:tcMar>
          </w:tcPr>
          <w:p w14:paraId="47C86D6B" w14:textId="182943BF" w:rsidR="00B70F81" w:rsidRPr="00B70F81" w:rsidRDefault="00B70F81" w:rsidP="00AF0BE2">
            <w:pPr>
              <w:pStyle w:val="IOStabletext"/>
            </w:pPr>
            <w:r w:rsidRPr="00B70F81">
              <w:t>The use of spreadsheets designed to show how the balance decreases depending on the interest, repayment amount or repayment time will give students confidence in estimation of time frames. Bank simulations can be found at</w:t>
            </w:r>
            <w:r w:rsidR="00AF0BE2">
              <w:t xml:space="preserve"> </w:t>
            </w:r>
            <w:hyperlink r:id="rId29" w:history="1">
              <w:r w:rsidR="00AF0BE2" w:rsidRPr="00AF0BE2">
                <w:rPr>
                  <w:rStyle w:val="Hyperlink"/>
                </w:rPr>
                <w:t>CommBank’s home loan repayment calculator</w:t>
              </w:r>
            </w:hyperlink>
            <w:r w:rsidR="00AF0BE2">
              <w:t xml:space="preserve"> </w:t>
            </w:r>
            <w:r w:rsidRPr="00B70F81">
              <w:t>or</w:t>
            </w:r>
            <w:r w:rsidR="00AF0BE2">
              <w:t xml:space="preserve"> </w:t>
            </w:r>
            <w:hyperlink r:id="rId30" w:history="1">
              <w:r w:rsidR="00AF0BE2" w:rsidRPr="00AF0BE2">
                <w:rPr>
                  <w:rStyle w:val="Hyperlink"/>
                </w:rPr>
                <w:t>NAB home loan repayment calculator</w:t>
              </w:r>
            </w:hyperlink>
          </w:p>
        </w:tc>
        <w:tc>
          <w:tcPr>
            <w:tcW w:w="5245" w:type="dxa"/>
            <w:tcMar>
              <w:top w:w="100" w:type="dxa"/>
              <w:left w:w="100" w:type="dxa"/>
              <w:bottom w:w="100" w:type="dxa"/>
              <w:right w:w="100" w:type="dxa"/>
            </w:tcMar>
          </w:tcPr>
          <w:p w14:paraId="6F1A79FC" w14:textId="77777777" w:rsidR="00B70F81" w:rsidRPr="00B70F81" w:rsidRDefault="00B70F81" w:rsidP="00B70F81">
            <w:pPr>
              <w:pStyle w:val="IOStabletext"/>
            </w:pPr>
            <w:r w:rsidRPr="00B70F81">
              <w:t>There are only a few variants of this type of question that have been asked in previous HSC and the questions are often of a high mark value. Recent examples of these questions are:</w:t>
            </w:r>
          </w:p>
          <w:p w14:paraId="65C6A9C3" w14:textId="77777777" w:rsidR="00B70F81" w:rsidRPr="00B70F81" w:rsidRDefault="001E1AED" w:rsidP="00B70F81">
            <w:pPr>
              <w:pStyle w:val="IOStabletext"/>
            </w:pPr>
            <w:hyperlink r:id="rId31">
              <w:r w:rsidR="00B70F81" w:rsidRPr="00AF0BE2">
                <w:rPr>
                  <w:rStyle w:val="Hyperlink"/>
                </w:rPr>
                <w:t>HSC 2014</w:t>
              </w:r>
              <w:r w:rsidR="00B70F81" w:rsidRPr="00B70F81">
                <w:rPr>
                  <w:u w:val="single"/>
                </w:rPr>
                <w:t xml:space="preserve"> </w:t>
              </w:r>
            </w:hyperlink>
            <w:r w:rsidR="00B70F81" w:rsidRPr="00B70F81">
              <w:t>Q16b</w:t>
            </w:r>
          </w:p>
          <w:p w14:paraId="116B895D" w14:textId="77777777" w:rsidR="00B70F81" w:rsidRPr="00B70F81" w:rsidRDefault="001E1AED" w:rsidP="00B70F81">
            <w:pPr>
              <w:pStyle w:val="IOStabletext"/>
            </w:pPr>
            <w:hyperlink r:id="rId32">
              <w:r w:rsidR="00B70F81" w:rsidRPr="00AF0BE2">
                <w:rPr>
                  <w:rStyle w:val="Hyperlink"/>
                </w:rPr>
                <w:t>HSC 2013</w:t>
              </w:r>
            </w:hyperlink>
            <w:r w:rsidR="00B70F81" w:rsidRPr="00B70F81">
              <w:t xml:space="preserve"> Q13d</w:t>
            </w:r>
          </w:p>
          <w:p w14:paraId="6581815C" w14:textId="77777777" w:rsidR="00B70F81" w:rsidRPr="00B70F81" w:rsidRDefault="001E1AED" w:rsidP="00B70F81">
            <w:pPr>
              <w:pStyle w:val="IOStabletext"/>
            </w:pPr>
            <w:hyperlink r:id="rId33">
              <w:r w:rsidR="00B70F81" w:rsidRPr="00AF0BE2">
                <w:rPr>
                  <w:rStyle w:val="Hyperlink"/>
                </w:rPr>
                <w:t>HSC 2012</w:t>
              </w:r>
            </w:hyperlink>
            <w:r w:rsidR="00B70F81" w:rsidRPr="00B70F81">
              <w:t xml:space="preserve"> Q15c</w:t>
            </w:r>
          </w:p>
          <w:p w14:paraId="344C98B0" w14:textId="77777777" w:rsidR="00B70F81" w:rsidRPr="00B70F81" w:rsidRDefault="00B70F81" w:rsidP="00B70F81">
            <w:pPr>
              <w:pStyle w:val="IOStabletext"/>
            </w:pPr>
            <w:r w:rsidRPr="00B70F81">
              <w:t>Common problems from the Marker’s notes include: incorrect number of instalments e.g. 2 (years) instead of 24 (months), rounding too soon, and using incorrect starting balance.</w:t>
            </w:r>
          </w:p>
        </w:tc>
      </w:tr>
    </w:tbl>
    <w:p w14:paraId="4F3E90D6" w14:textId="77777777" w:rsidR="00B70F81" w:rsidRPr="00B70F81" w:rsidRDefault="00B70F81" w:rsidP="00B70F81">
      <w:pPr>
        <w:pStyle w:val="IOSbodytext"/>
      </w:pPr>
    </w:p>
    <w:sectPr w:rsidR="00B70F81" w:rsidRPr="00B70F81" w:rsidSect="001E1AED">
      <w:type w:val="continuous"/>
      <w:pgSz w:w="16840" w:h="11900" w:orient="landscape"/>
      <w:pgMar w:top="567" w:right="958" w:bottom="567" w:left="56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9846C" w14:textId="77777777" w:rsidR="000364EE" w:rsidRDefault="000364EE" w:rsidP="00480FD7">
      <w:r>
        <w:separator/>
      </w:r>
    </w:p>
  </w:endnote>
  <w:endnote w:type="continuationSeparator" w:id="0">
    <w:p w14:paraId="360A016C" w14:textId="77777777" w:rsidR="000364EE" w:rsidRDefault="000364E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63D3" w14:textId="77AF5E7C" w:rsidR="00995898" w:rsidRPr="004E338C" w:rsidRDefault="00AA1AD8" w:rsidP="00E44FA3">
    <w:pPr>
      <w:pStyle w:val="IOSfooter"/>
      <w:tabs>
        <w:tab w:val="clear" w:pos="5245"/>
        <w:tab w:val="clear" w:pos="10773"/>
        <w:tab w:val="left" w:pos="15168"/>
        <w:tab w:val="right" w:pos="15309"/>
      </w:tabs>
      <w:spacing w:before="120"/>
    </w:pPr>
    <w:r>
      <w:t>M</w:t>
    </w:r>
    <w:r w:rsidR="000364EE">
      <w:t>athematics</w:t>
    </w:r>
    <w:r w:rsidR="000364EE">
      <w:tab/>
    </w:r>
    <w:r w:rsidR="00995898" w:rsidRPr="004E338C">
      <w:fldChar w:fldCharType="begin"/>
    </w:r>
    <w:r w:rsidR="00995898" w:rsidRPr="004E338C">
      <w:instrText xml:space="preserve"> PAGE </w:instrText>
    </w:r>
    <w:r w:rsidR="00995898" w:rsidRPr="004E338C">
      <w:fldChar w:fldCharType="separate"/>
    </w:r>
    <w:r w:rsidR="001E1AED">
      <w:rPr>
        <w:noProof/>
      </w:rPr>
      <w:t>2</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3716" w14:textId="77777777" w:rsidR="000364EE" w:rsidRDefault="000364EE" w:rsidP="00480FD7">
      <w:r>
        <w:separator/>
      </w:r>
    </w:p>
  </w:footnote>
  <w:footnote w:type="continuationSeparator" w:id="0">
    <w:p w14:paraId="7D191C8F" w14:textId="77777777" w:rsidR="000364EE" w:rsidRDefault="000364EE"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14250"/>
    <w:multiLevelType w:val="multilevel"/>
    <w:tmpl w:val="87680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C3082"/>
    <w:multiLevelType w:val="multilevel"/>
    <w:tmpl w:val="610A5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B377C2"/>
    <w:multiLevelType w:val="multilevel"/>
    <w:tmpl w:val="3114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75E3F86"/>
    <w:multiLevelType w:val="multilevel"/>
    <w:tmpl w:val="8CFE9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A6469"/>
    <w:multiLevelType w:val="multilevel"/>
    <w:tmpl w:val="D3B2F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A2E34FC"/>
    <w:multiLevelType w:val="multilevel"/>
    <w:tmpl w:val="0C09001D"/>
    <w:numStyleLink w:val="IOSList1new"/>
  </w:abstractNum>
  <w:abstractNum w:abstractNumId="25"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43224"/>
    <w:multiLevelType w:val="multilevel"/>
    <w:tmpl w:val="83582A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7"/>
  </w:num>
  <w:num w:numId="2">
    <w:abstractNumId w:val="27"/>
  </w:num>
  <w:num w:numId="3">
    <w:abstractNumId w:val="27"/>
  </w:num>
  <w:num w:numId="4">
    <w:abstractNumId w:val="21"/>
  </w:num>
  <w:num w:numId="5">
    <w:abstractNumId w:val="0"/>
  </w:num>
  <w:num w:numId="6">
    <w:abstractNumId w:val="19"/>
  </w:num>
  <w:num w:numId="7">
    <w:abstractNumId w:val="19"/>
  </w:num>
  <w:num w:numId="8">
    <w:abstractNumId w:val="18"/>
  </w:num>
  <w:num w:numId="9">
    <w:abstractNumId w:val="2"/>
  </w:num>
  <w:num w:numId="10">
    <w:abstractNumId w:val="17"/>
  </w:num>
  <w:num w:numId="11">
    <w:abstractNumId w:val="6"/>
  </w:num>
  <w:num w:numId="12">
    <w:abstractNumId w:val="16"/>
  </w:num>
  <w:num w:numId="13">
    <w:abstractNumId w:val="25"/>
  </w:num>
  <w:num w:numId="14">
    <w:abstractNumId w:val="9"/>
  </w:num>
  <w:num w:numId="15">
    <w:abstractNumId w:val="22"/>
  </w:num>
  <w:num w:numId="16">
    <w:abstractNumId w:val="7"/>
  </w:num>
  <w:num w:numId="17">
    <w:abstractNumId w:val="11"/>
  </w:num>
  <w:num w:numId="18">
    <w:abstractNumId w:val="15"/>
  </w:num>
  <w:num w:numId="19">
    <w:abstractNumId w:val="1"/>
  </w:num>
  <w:num w:numId="20">
    <w:abstractNumId w:val="4"/>
  </w:num>
  <w:num w:numId="21">
    <w:abstractNumId w:val="20"/>
  </w:num>
  <w:num w:numId="22">
    <w:abstractNumId w:val="10"/>
  </w:num>
  <w:num w:numId="23">
    <w:abstractNumId w:val="1"/>
  </w:num>
  <w:num w:numId="24">
    <w:abstractNumId w:val="22"/>
  </w:num>
  <w:num w:numId="25">
    <w:abstractNumId w:val="16"/>
  </w:num>
  <w:num w:numId="26">
    <w:abstractNumId w:val="16"/>
  </w:num>
  <w:num w:numId="27">
    <w:abstractNumId w:val="10"/>
  </w:num>
  <w:num w:numId="28">
    <w:abstractNumId w:val="1"/>
  </w:num>
  <w:num w:numId="29">
    <w:abstractNumId w:val="22"/>
  </w:num>
  <w:num w:numId="30">
    <w:abstractNumId w:val="16"/>
  </w:num>
  <w:num w:numId="31">
    <w:abstractNumId w:val="16"/>
  </w:num>
  <w:num w:numId="32">
    <w:abstractNumId w:val="10"/>
  </w:num>
  <w:num w:numId="33">
    <w:abstractNumId w:val="8"/>
  </w:num>
  <w:num w:numId="34">
    <w:abstractNumId w:val="1"/>
  </w:num>
  <w:num w:numId="35">
    <w:abstractNumId w:val="22"/>
  </w:num>
  <w:num w:numId="36">
    <w:abstractNumId w:val="16"/>
  </w:num>
  <w:num w:numId="37">
    <w:abstractNumId w:val="16"/>
  </w:num>
  <w:num w:numId="38">
    <w:abstractNumId w:val="10"/>
  </w:num>
  <w:num w:numId="39">
    <w:abstractNumId w:val="8"/>
  </w:num>
  <w:num w:numId="40">
    <w:abstractNumId w:val="26"/>
  </w:num>
  <w:num w:numId="41">
    <w:abstractNumId w:val="14"/>
  </w:num>
  <w:num w:numId="42">
    <w:abstractNumId w:val="24"/>
  </w:num>
  <w:num w:numId="43">
    <w:abstractNumId w:val="3"/>
  </w:num>
  <w:num w:numId="44">
    <w:abstractNumId w:val="12"/>
  </w:num>
  <w:num w:numId="45">
    <w:abstractNumId w:val="5"/>
  </w:num>
  <w:num w:numId="46">
    <w:abstractNumId w:val="28"/>
  </w:num>
  <w:num w:numId="47">
    <w:abstractNumId w:val="2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10671"/>
    <w:rsid w:val="00010B54"/>
    <w:rsid w:val="000364EE"/>
    <w:rsid w:val="00076446"/>
    <w:rsid w:val="000C3B9A"/>
    <w:rsid w:val="000C4732"/>
    <w:rsid w:val="000F6821"/>
    <w:rsid w:val="00100563"/>
    <w:rsid w:val="001440CA"/>
    <w:rsid w:val="00186118"/>
    <w:rsid w:val="001A6F71"/>
    <w:rsid w:val="001E1AED"/>
    <w:rsid w:val="001E1B75"/>
    <w:rsid w:val="001F1D0D"/>
    <w:rsid w:val="001F6BBE"/>
    <w:rsid w:val="00210436"/>
    <w:rsid w:val="00215471"/>
    <w:rsid w:val="00215956"/>
    <w:rsid w:val="002208BE"/>
    <w:rsid w:val="00225BA0"/>
    <w:rsid w:val="002407B2"/>
    <w:rsid w:val="00281A35"/>
    <w:rsid w:val="00281F50"/>
    <w:rsid w:val="00286108"/>
    <w:rsid w:val="00295F9F"/>
    <w:rsid w:val="002A07C0"/>
    <w:rsid w:val="002D379D"/>
    <w:rsid w:val="002D47A6"/>
    <w:rsid w:val="003030F2"/>
    <w:rsid w:val="00304EF2"/>
    <w:rsid w:val="003076AC"/>
    <w:rsid w:val="00334511"/>
    <w:rsid w:val="00341F8B"/>
    <w:rsid w:val="003434F6"/>
    <w:rsid w:val="00361327"/>
    <w:rsid w:val="00367FB2"/>
    <w:rsid w:val="00397617"/>
    <w:rsid w:val="003B3062"/>
    <w:rsid w:val="004668BC"/>
    <w:rsid w:val="00480C44"/>
    <w:rsid w:val="00480FD7"/>
    <w:rsid w:val="004B2FF5"/>
    <w:rsid w:val="004B4B05"/>
    <w:rsid w:val="004E338C"/>
    <w:rsid w:val="004E551F"/>
    <w:rsid w:val="004F35B3"/>
    <w:rsid w:val="00504555"/>
    <w:rsid w:val="005202C7"/>
    <w:rsid w:val="00530B64"/>
    <w:rsid w:val="005402DE"/>
    <w:rsid w:val="00541AE4"/>
    <w:rsid w:val="005764DE"/>
    <w:rsid w:val="00595476"/>
    <w:rsid w:val="005B53AD"/>
    <w:rsid w:val="005C7E88"/>
    <w:rsid w:val="005D1A4E"/>
    <w:rsid w:val="00642245"/>
    <w:rsid w:val="00652107"/>
    <w:rsid w:val="0065761A"/>
    <w:rsid w:val="00662F4D"/>
    <w:rsid w:val="006735CE"/>
    <w:rsid w:val="00684627"/>
    <w:rsid w:val="006914F9"/>
    <w:rsid w:val="006B2D4C"/>
    <w:rsid w:val="006E2F78"/>
    <w:rsid w:val="006F2409"/>
    <w:rsid w:val="007052B6"/>
    <w:rsid w:val="00735393"/>
    <w:rsid w:val="007464AC"/>
    <w:rsid w:val="00756B8D"/>
    <w:rsid w:val="007773AD"/>
    <w:rsid w:val="00786115"/>
    <w:rsid w:val="007A070B"/>
    <w:rsid w:val="007C3CDD"/>
    <w:rsid w:val="007C6100"/>
    <w:rsid w:val="007D0956"/>
    <w:rsid w:val="007E751F"/>
    <w:rsid w:val="0080474D"/>
    <w:rsid w:val="00804F4F"/>
    <w:rsid w:val="00846B99"/>
    <w:rsid w:val="00852250"/>
    <w:rsid w:val="00856F98"/>
    <w:rsid w:val="00861F4B"/>
    <w:rsid w:val="00863F90"/>
    <w:rsid w:val="008750C7"/>
    <w:rsid w:val="008C2BB3"/>
    <w:rsid w:val="008E5BD7"/>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A168F"/>
    <w:rsid w:val="00AA1AD8"/>
    <w:rsid w:val="00AA5AC4"/>
    <w:rsid w:val="00AB62F9"/>
    <w:rsid w:val="00AC269B"/>
    <w:rsid w:val="00AC44EA"/>
    <w:rsid w:val="00AE67E3"/>
    <w:rsid w:val="00AE79D8"/>
    <w:rsid w:val="00AF0BE2"/>
    <w:rsid w:val="00B24CBA"/>
    <w:rsid w:val="00B301C2"/>
    <w:rsid w:val="00B40474"/>
    <w:rsid w:val="00B70F81"/>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67117"/>
    <w:rsid w:val="00D7685E"/>
    <w:rsid w:val="00DD21D5"/>
    <w:rsid w:val="00DD36C0"/>
    <w:rsid w:val="00DD636E"/>
    <w:rsid w:val="00DE67EB"/>
    <w:rsid w:val="00DF3B99"/>
    <w:rsid w:val="00DF6F06"/>
    <w:rsid w:val="00E06650"/>
    <w:rsid w:val="00E26D32"/>
    <w:rsid w:val="00E42AE6"/>
    <w:rsid w:val="00E44FA3"/>
    <w:rsid w:val="00E45779"/>
    <w:rsid w:val="00E639B8"/>
    <w:rsid w:val="00E86FE9"/>
    <w:rsid w:val="00E95EA2"/>
    <w:rsid w:val="00EC1887"/>
    <w:rsid w:val="00EF6D6A"/>
    <w:rsid w:val="00F209C7"/>
    <w:rsid w:val="00F373A4"/>
    <w:rsid w:val="00F40A03"/>
    <w:rsid w:val="00F420F0"/>
    <w:rsid w:val="00F4748E"/>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2C433A"/>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530B64"/>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3076AC"/>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530B64"/>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Hyperlink">
    <w:name w:val="Hyperlink"/>
    <w:basedOn w:val="DefaultParagraphFont"/>
    <w:uiPriority w:val="99"/>
    <w:unhideWhenUsed/>
    <w:rsid w:val="003076AC"/>
    <w:rPr>
      <w:color w:val="0000FF" w:themeColor="hyperlink"/>
      <w:u w:val="single"/>
    </w:rPr>
  </w:style>
  <w:style w:type="character" w:styleId="FollowedHyperlink">
    <w:name w:val="FollowedHyperlink"/>
    <w:basedOn w:val="DefaultParagraphFont"/>
    <w:uiPriority w:val="99"/>
    <w:semiHidden/>
    <w:unhideWhenUsed/>
    <w:rsid w:val="00343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hsisfun.com/algebra/partial-sums.html" TargetMode="External"/><Relationship Id="rId18" Type="http://schemas.openxmlformats.org/officeDocument/2006/relationships/hyperlink" Target="http://www.mathalino.com/reviewer/derivation-of-formulas/sum-of-finite-and-infinite-geometric-progression"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thsisfun.com/algebra/sigma-notation.htm" TargetMode="External"/><Relationship Id="rId17" Type="http://schemas.openxmlformats.org/officeDocument/2006/relationships/hyperlink" Target="http://www.coolmath.com/algebra/19-sequences-series/06-gauss-problem-arithmetic-series-01" TargetMode="External"/><Relationship Id="rId25" Type="http://schemas.openxmlformats.org/officeDocument/2006/relationships/oleObject" Target="embeddings/oleObject3.bin"/><Relationship Id="rId33" Type="http://schemas.openxmlformats.org/officeDocument/2006/relationships/hyperlink" Target="http://www.boardofstudies.nsw.edu.au/hsc_exams/hsc2012exams/pdf_doc/2012-hsc-exam-maths.pdf" TargetMode="External"/><Relationship Id="rId2" Type="http://schemas.openxmlformats.org/officeDocument/2006/relationships/numbering" Target="numbering.xml"/><Relationship Id="rId16" Type="http://schemas.openxmlformats.org/officeDocument/2006/relationships/hyperlink" Target="http://www.coolmath.com/algebra/19-sequences-series/05-arithmetic-sequences-01" TargetMode="External"/><Relationship Id="rId20" Type="http://schemas.openxmlformats.org/officeDocument/2006/relationships/hyperlink" Target="http://www.coolmath.com/algebra/19-sequences-series/08-geometic-series-01" TargetMode="External"/><Relationship Id="rId29" Type="http://schemas.openxmlformats.org/officeDocument/2006/relationships/hyperlink" Target="https://apps.commbank.com.au/propertyhub/calculator/home-loan-repay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sisfun.com/algebra/sequences-series.html" TargetMode="External"/><Relationship Id="rId24" Type="http://schemas.openxmlformats.org/officeDocument/2006/relationships/image" Target="media/image3.wmf"/><Relationship Id="rId32" Type="http://schemas.openxmlformats.org/officeDocument/2006/relationships/hyperlink" Target="http://www.boardofstudies.nsw.edu.au/hsc_exams/2013/pdf_doc/2013-hsc-maths.pdf" TargetMode="External"/><Relationship Id="rId5" Type="http://schemas.openxmlformats.org/officeDocument/2006/relationships/webSettings" Target="webSettings.xml"/><Relationship Id="rId15" Type="http://schemas.openxmlformats.org/officeDocument/2006/relationships/hyperlink" Target="https://youtu.be/Dd81F6-Ar_0" TargetMode="External"/><Relationship Id="rId23" Type="http://schemas.openxmlformats.org/officeDocument/2006/relationships/oleObject" Target="embeddings/oleObject2.bin"/><Relationship Id="rId28" Type="http://schemas.openxmlformats.org/officeDocument/2006/relationships/hyperlink" Target="http://www.mathsisfun.com/algebra/infinite-series.html" TargetMode="External"/><Relationship Id="rId10" Type="http://schemas.openxmlformats.org/officeDocument/2006/relationships/hyperlink" Target="http://www.amsi.org.au/ESA_Senior_Years/SeniorTopic1/1_md/SeniorTopic1d.html" TargetMode="External"/><Relationship Id="rId19" Type="http://schemas.openxmlformats.org/officeDocument/2006/relationships/hyperlink" Target="http://www.coolmath.com/algebra/19-sequences-series/07-geometic-sequences-01" TargetMode="External"/><Relationship Id="rId31" Type="http://schemas.openxmlformats.org/officeDocument/2006/relationships/hyperlink" Target="http://www.boardofstudies.nsw.edu.au/hsc_exams/2014/pdf_doc/2014-hsc-math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arf8wDP_MJE"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hyperlink" Target="http://www.nab.com.au/personal/loans/home-loans/home-loan-calculators/loan-repayments-calculato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3E55-581B-4524-B459-B9A95F62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Series and series applications</vt:lpstr>
    </vt:vector>
  </TitlesOfParts>
  <Company>NSW, Department of Education and Training</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and series applications</dc:title>
  <dc:creator/>
  <cp:lastModifiedBy>Jensen, Amy</cp:lastModifiedBy>
  <cp:revision>5</cp:revision>
  <cp:lastPrinted>2016-07-07T23:41:00Z</cp:lastPrinted>
  <dcterms:created xsi:type="dcterms:W3CDTF">2017-10-09T03:48:00Z</dcterms:created>
  <dcterms:modified xsi:type="dcterms:W3CDTF">2017-10-11T01:26:00Z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