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B6BC4" w14:textId="77777777" w:rsidR="00EC1887" w:rsidRDefault="007052B6" w:rsidP="00FA0D11">
      <w:pPr>
        <w:pStyle w:val="IOSHeading1"/>
        <w:tabs>
          <w:tab w:val="left" w:pos="2552"/>
        </w:tabs>
        <w:spacing w:after="360"/>
      </w:pPr>
      <w:r>
        <w:rPr>
          <w:noProof/>
          <w:lang w:bidi="lo-LA"/>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9F3967">
        <w:t>Polynomials</w:t>
      </w:r>
    </w:p>
    <w:tbl>
      <w:tblPr>
        <w:tblStyle w:val="TableGrid"/>
        <w:tblW w:w="0" w:type="auto"/>
        <w:jc w:val="center"/>
        <w:tblLayout w:type="fixed"/>
        <w:tblLook w:val="04A0" w:firstRow="1" w:lastRow="0" w:firstColumn="1" w:lastColumn="0" w:noHBand="0" w:noVBand="1"/>
        <w:tblDescription w:val="This table has three columns that can be reliant on one another to provide information about the activity. "/>
      </w:tblPr>
      <w:tblGrid>
        <w:gridCol w:w="3227"/>
        <w:gridCol w:w="7371"/>
        <w:gridCol w:w="4933"/>
      </w:tblGrid>
      <w:tr w:rsidR="001339AC" w14:paraId="0ED36C43" w14:textId="77777777" w:rsidTr="00FF7F59">
        <w:trPr>
          <w:tblHeader/>
          <w:jc w:val="center"/>
        </w:trPr>
        <w:tc>
          <w:tcPr>
            <w:tcW w:w="3227" w:type="dxa"/>
            <w:shd w:val="clear" w:color="auto" w:fill="000000" w:themeFill="text1"/>
          </w:tcPr>
          <w:p w14:paraId="09D22409" w14:textId="77777777" w:rsidR="001339AC" w:rsidRDefault="001339AC" w:rsidP="001339AC">
            <w:pPr>
              <w:pStyle w:val="IOStableheader"/>
              <w:jc w:val="center"/>
            </w:pPr>
            <w:bookmarkStart w:id="0" w:name="ColumnTitle_1"/>
            <w:r>
              <w:t>Syllabus elements</w:t>
            </w:r>
          </w:p>
        </w:tc>
        <w:tc>
          <w:tcPr>
            <w:tcW w:w="7371" w:type="dxa"/>
            <w:shd w:val="clear" w:color="auto" w:fill="000000" w:themeFill="text1"/>
          </w:tcPr>
          <w:p w14:paraId="5DBD1AF9" w14:textId="77777777" w:rsidR="001339AC" w:rsidRDefault="001339AC" w:rsidP="001339AC">
            <w:pPr>
              <w:pStyle w:val="IOStableheader"/>
              <w:jc w:val="center"/>
            </w:pPr>
            <w:r>
              <w:t>Teaching ideas</w:t>
            </w:r>
          </w:p>
        </w:tc>
        <w:tc>
          <w:tcPr>
            <w:tcW w:w="4933" w:type="dxa"/>
            <w:shd w:val="clear" w:color="auto" w:fill="000000" w:themeFill="text1"/>
          </w:tcPr>
          <w:p w14:paraId="3AC0BB04" w14:textId="77777777" w:rsidR="001339AC" w:rsidRDefault="001339AC" w:rsidP="001339AC">
            <w:pPr>
              <w:pStyle w:val="IOStableheader"/>
              <w:jc w:val="center"/>
            </w:pPr>
            <w:r>
              <w:t>Teaching resources</w:t>
            </w:r>
          </w:p>
        </w:tc>
      </w:tr>
      <w:bookmarkEnd w:id="0"/>
      <w:tr w:rsidR="00FF7F59" w14:paraId="4A57CAFF" w14:textId="77777777" w:rsidTr="00FF7F59">
        <w:trPr>
          <w:jc w:val="center"/>
        </w:trPr>
        <w:tc>
          <w:tcPr>
            <w:tcW w:w="3227" w:type="dxa"/>
          </w:tcPr>
          <w:p w14:paraId="5FECF7B7" w14:textId="77777777" w:rsidR="00FF7F59" w:rsidRPr="008F56B3" w:rsidRDefault="00FF7F59" w:rsidP="00FF7F59">
            <w:pPr>
              <w:pStyle w:val="IOStabletext"/>
            </w:pPr>
            <w:r w:rsidRPr="008F56B3">
              <w:t>Introduction</w:t>
            </w:r>
          </w:p>
        </w:tc>
        <w:tc>
          <w:tcPr>
            <w:tcW w:w="7371" w:type="dxa"/>
          </w:tcPr>
          <w:p w14:paraId="20E81C39" w14:textId="77777777" w:rsidR="00FF7F59" w:rsidRPr="008F56B3" w:rsidRDefault="00FF7F59" w:rsidP="00FF7F59">
            <w:pPr>
              <w:pStyle w:val="IOStabletext"/>
            </w:pPr>
            <w:r w:rsidRPr="008F56B3">
              <w:t>Graphs of simple polynomials should be drawn, usin</w:t>
            </w:r>
            <w:r>
              <w:t>g all the techniques available.</w:t>
            </w:r>
          </w:p>
          <w:p w14:paraId="038F6A09" w14:textId="77777777" w:rsidR="00FF7F59" w:rsidRPr="008F56B3" w:rsidRDefault="00FF7F59" w:rsidP="00FF7F59">
            <w:pPr>
              <w:pStyle w:val="IOStabletext"/>
            </w:pPr>
            <w:r w:rsidRPr="008F56B3">
              <w:t>Polynomials are used extensively in many different types of engineering including civil engineering where polynomial equations are used to design road curves as well as to model where to place supports when designing bridges to ensure that maximum deformation is kept within allowances.</w:t>
            </w:r>
          </w:p>
        </w:tc>
        <w:tc>
          <w:tcPr>
            <w:tcW w:w="4933" w:type="dxa"/>
          </w:tcPr>
          <w:p w14:paraId="2FE39F02" w14:textId="3390EC03" w:rsidR="00FF7F59" w:rsidRPr="00FF7F59" w:rsidRDefault="00751AAB" w:rsidP="00751AAB">
            <w:pPr>
              <w:pStyle w:val="IOStabletext"/>
            </w:pPr>
            <w:hyperlink r:id="rId9" w:history="1">
              <w:r w:rsidR="00FF7F59" w:rsidRPr="00751AAB">
                <w:rPr>
                  <w:rStyle w:val="Hyperlink"/>
                </w:rPr>
                <w:t>Presentations covering this unit of work are available from Richmond High School</w:t>
              </w:r>
            </w:hyperlink>
            <w:r>
              <w:t>.</w:t>
            </w:r>
          </w:p>
        </w:tc>
      </w:tr>
      <w:tr w:rsidR="00FF7F59" w14:paraId="0D75F9A8" w14:textId="77777777" w:rsidTr="00FF7F59">
        <w:trPr>
          <w:jc w:val="center"/>
        </w:trPr>
        <w:tc>
          <w:tcPr>
            <w:tcW w:w="3227" w:type="dxa"/>
          </w:tcPr>
          <w:p w14:paraId="2513661D" w14:textId="77777777" w:rsidR="00FF7F59" w:rsidRPr="008F56B3" w:rsidRDefault="00FF7F59" w:rsidP="00FF7F59">
            <w:pPr>
              <w:pStyle w:val="IOStabletext"/>
            </w:pPr>
            <w:r w:rsidRPr="008F56B3">
              <w:t>Terminology, notation and some basic properties of a polynomial.</w:t>
            </w:r>
          </w:p>
        </w:tc>
        <w:tc>
          <w:tcPr>
            <w:tcW w:w="7371" w:type="dxa"/>
          </w:tcPr>
          <w:p w14:paraId="74413954" w14:textId="77777777" w:rsidR="00FF7F59" w:rsidRPr="008F56B3" w:rsidRDefault="00FF7F59" w:rsidP="00FF7F59">
            <w:pPr>
              <w:pStyle w:val="IOStabletext"/>
            </w:pPr>
            <w:r w:rsidRPr="008F56B3">
              <w:t>The polynomial topic has a lot of new terminology that needs to be explicitly taught to students. Links to prior learning are particularly useful. Teachers need to ensure that they utilise the correct terminology to avoid confusion.</w:t>
            </w:r>
          </w:p>
          <w:p w14:paraId="054140B5" w14:textId="77777777" w:rsidR="00FF7F59" w:rsidRPr="008F56B3" w:rsidRDefault="00FF7F59" w:rsidP="00FF7F59">
            <w:pPr>
              <w:pStyle w:val="IOStabletext"/>
            </w:pPr>
            <w:r w:rsidRPr="008F56B3">
              <w:t>The followin</w:t>
            </w:r>
            <w:r>
              <w:t>g useful facts should be noted.</w:t>
            </w:r>
          </w:p>
          <w:p w14:paraId="335C1687" w14:textId="77777777" w:rsidR="00FF7F59" w:rsidRPr="00FF7F59" w:rsidRDefault="00FF7F59" w:rsidP="00FF7F59">
            <w:pPr>
              <w:pStyle w:val="IOStablelist"/>
            </w:pPr>
            <w:r w:rsidRPr="00FF7F59">
              <w:t xml:space="preserve">For very large </w:t>
            </w:r>
            <w:r w:rsidR="00097C30" w:rsidRPr="00097C30">
              <w:rPr>
                <w:position w:val="-14"/>
              </w:rPr>
              <w:object w:dxaOrig="1579" w:dyaOrig="400" w14:anchorId="2BF53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9.5pt" o:ole="">
                  <v:imagedata r:id="rId10" o:title=""/>
                </v:shape>
                <o:OLEObject Type="Embed" ProgID="Equation.DSMT4" ShapeID="_x0000_i1025" DrawAspect="Content" ObjectID="_1577082590" r:id="rId11"/>
              </w:object>
            </w:r>
          </w:p>
          <w:p w14:paraId="38132648" w14:textId="77777777" w:rsidR="00FF7F59" w:rsidRPr="00FF7F59" w:rsidRDefault="00FF7F59" w:rsidP="00FF7F59">
            <w:pPr>
              <w:pStyle w:val="IOStablelist"/>
            </w:pPr>
            <w:r w:rsidRPr="00FF7F59">
              <w:t xml:space="preserve">A polynomial of odd degree always has at least one real zero. </w:t>
            </w:r>
          </w:p>
          <w:p w14:paraId="51B0797D" w14:textId="77777777" w:rsidR="00FF7F59" w:rsidRPr="008F56B3" w:rsidRDefault="00FF7F59" w:rsidP="00FF7F59">
            <w:pPr>
              <w:pStyle w:val="IOStablelist"/>
            </w:pPr>
            <w:r w:rsidRPr="00FF7F59">
              <w:t>At least one maximum or minimum value of P occurs between any two distinct real zeros.</w:t>
            </w:r>
          </w:p>
        </w:tc>
        <w:tc>
          <w:tcPr>
            <w:tcW w:w="4933" w:type="dxa"/>
          </w:tcPr>
          <w:p w14:paraId="7A31885F" w14:textId="0A5C81AD" w:rsidR="00FF7F59" w:rsidRPr="00FF7F59" w:rsidRDefault="00751AAB" w:rsidP="00FF7F59">
            <w:pPr>
              <w:pStyle w:val="IOStabletext"/>
            </w:pPr>
            <w:hyperlink r:id="rId12" w:history="1">
              <w:r w:rsidR="00FF7F59" w:rsidRPr="00751AAB">
                <w:rPr>
                  <w:rStyle w:val="Hyperlink"/>
                </w:rPr>
                <w:t>Every polynomial with an odd deg</w:t>
              </w:r>
              <w:r w:rsidRPr="00751AAB">
                <w:rPr>
                  <w:rStyle w:val="Hyperlink"/>
                </w:rPr>
                <w:t>ree has at least one real root</w:t>
              </w:r>
            </w:hyperlink>
            <w:r>
              <w:t>.</w:t>
            </w:r>
          </w:p>
          <w:p w14:paraId="7AAB01EE" w14:textId="0D8D861A" w:rsidR="00FF7F59" w:rsidRPr="00FF7F59" w:rsidRDefault="00FF7F59" w:rsidP="00751AAB">
            <w:pPr>
              <w:pStyle w:val="IOStabletext"/>
            </w:pPr>
            <w:r w:rsidRPr="00FF7F59">
              <w:t>This fact is necessary for the methods of approximation to work.</w:t>
            </w:r>
          </w:p>
        </w:tc>
      </w:tr>
      <w:tr w:rsidR="00FF7F59" w14:paraId="1E661642" w14:textId="77777777" w:rsidTr="00FF7F59">
        <w:trPr>
          <w:jc w:val="center"/>
        </w:trPr>
        <w:tc>
          <w:tcPr>
            <w:tcW w:w="3227" w:type="dxa"/>
          </w:tcPr>
          <w:p w14:paraId="01F74E9E" w14:textId="79B44C7C" w:rsidR="00FF7F59" w:rsidRPr="008F56B3" w:rsidRDefault="00FF7F59" w:rsidP="00751AAB">
            <w:pPr>
              <w:pStyle w:val="IOStabletext"/>
            </w:pPr>
            <w:r w:rsidRPr="00751AAB">
              <w:rPr>
                <w:rStyle w:val="IOStabletextboldChar"/>
              </w:rPr>
              <w:t>Extension</w:t>
            </w:r>
            <w:r w:rsidR="00751AAB">
              <w:t xml:space="preserve"> –</w:t>
            </w:r>
            <w:r w:rsidRPr="008F56B3">
              <w:t xml:space="preserve"> Bezier Curves and Pixar in a Box</w:t>
            </w:r>
          </w:p>
        </w:tc>
        <w:tc>
          <w:tcPr>
            <w:tcW w:w="7371" w:type="dxa"/>
          </w:tcPr>
          <w:p w14:paraId="078FB9CD" w14:textId="77777777" w:rsidR="00FF7F59" w:rsidRPr="008F56B3" w:rsidRDefault="00FF7F59" w:rsidP="00FF7F59">
            <w:pPr>
              <w:pStyle w:val="IOStabletext"/>
            </w:pPr>
            <w:r w:rsidRPr="008F56B3">
              <w:t xml:space="preserve">Some students will be interested in exploring Bezier representations of curves - essentially a parametric representation of polynomials. </w:t>
            </w:r>
          </w:p>
          <w:p w14:paraId="2FD79C02" w14:textId="77777777" w:rsidR="00FF7F59" w:rsidRPr="008F56B3" w:rsidRDefault="00FF7F59" w:rsidP="00FF7F59">
            <w:pPr>
              <w:pStyle w:val="IOStabletext"/>
            </w:pPr>
            <w:r w:rsidRPr="008F56B3">
              <w:t>Pixar and Khan Academy offer a lesson sequence exploring animation techniques which includes interactive and a good introduction to some of the mathematics to representing and animating curves. Several hours of content and interactives - suitable for self-directed study (and play).</w:t>
            </w:r>
          </w:p>
          <w:p w14:paraId="7D88BB7A" w14:textId="77777777" w:rsidR="00FF7F59" w:rsidRPr="008F56B3" w:rsidRDefault="00FF7F59" w:rsidP="00FF7F59">
            <w:pPr>
              <w:pStyle w:val="IOStabletext"/>
            </w:pPr>
            <w:r w:rsidRPr="008F56B3">
              <w:t>For a shorter accelerated sequence on Bezier Curves, go straight to “</w:t>
            </w:r>
            <w:r w:rsidRPr="008F56B3">
              <w:rPr>
                <w:b/>
              </w:rPr>
              <w:t>Mathematics of Animating Curves</w:t>
            </w:r>
            <w:r w:rsidRPr="008F56B3">
              <w:t>” - watch the videos, do the interactives. The final exercise makes links to Binomial Theorem.</w:t>
            </w:r>
          </w:p>
        </w:tc>
        <w:tc>
          <w:tcPr>
            <w:tcW w:w="4933" w:type="dxa"/>
          </w:tcPr>
          <w:p w14:paraId="018D2236" w14:textId="1D948B2A" w:rsidR="00FF7F59" w:rsidRPr="00FF7F59" w:rsidRDefault="00751AAB" w:rsidP="00FF7F59">
            <w:pPr>
              <w:pStyle w:val="IOStabletext"/>
              <w:rPr>
                <w:u w:val="single"/>
              </w:rPr>
            </w:pPr>
            <w:hyperlink r:id="rId13" w:history="1">
              <w:r w:rsidRPr="00751AAB">
                <w:rPr>
                  <w:rStyle w:val="Hyperlink"/>
                </w:rPr>
                <w:t>Khan Academy page on ‘Pixar in a box’</w:t>
              </w:r>
            </w:hyperlink>
          </w:p>
        </w:tc>
      </w:tr>
      <w:tr w:rsidR="00FF7F59" w14:paraId="78789A87" w14:textId="77777777" w:rsidTr="00FF7F59">
        <w:trPr>
          <w:jc w:val="center"/>
        </w:trPr>
        <w:tc>
          <w:tcPr>
            <w:tcW w:w="3227" w:type="dxa"/>
          </w:tcPr>
          <w:p w14:paraId="4D70B4FF" w14:textId="19E7E399" w:rsidR="00FF7F59" w:rsidRPr="008F56B3" w:rsidRDefault="00751AAB" w:rsidP="00FF7F59">
            <w:pPr>
              <w:pStyle w:val="IOStabletext"/>
            </w:pPr>
            <w:r w:rsidRPr="00751AAB">
              <w:rPr>
                <w:rStyle w:val="IOStabletextboldChar"/>
              </w:rPr>
              <w:t>Extension</w:t>
            </w:r>
            <w:r>
              <w:t xml:space="preserve"> –</w:t>
            </w:r>
            <w:r w:rsidR="00FF7F59" w:rsidRPr="008F56B3">
              <w:t xml:space="preserve"> application to cryptography</w:t>
            </w:r>
          </w:p>
        </w:tc>
        <w:tc>
          <w:tcPr>
            <w:tcW w:w="7371" w:type="dxa"/>
          </w:tcPr>
          <w:p w14:paraId="77DC89DD" w14:textId="77777777" w:rsidR="00FF7F59" w:rsidRPr="008F56B3" w:rsidRDefault="00FF7F59" w:rsidP="00FF7F59">
            <w:pPr>
              <w:pStyle w:val="IOStabletext"/>
            </w:pPr>
            <w:r w:rsidRPr="008F56B3">
              <w:t xml:space="preserve">Binary polynomials are used to encode block of binary data. </w:t>
            </w:r>
          </w:p>
        </w:tc>
        <w:tc>
          <w:tcPr>
            <w:tcW w:w="4933" w:type="dxa"/>
          </w:tcPr>
          <w:p w14:paraId="62A1E91B" w14:textId="77777777" w:rsidR="00FF7F59" w:rsidRPr="008F56B3" w:rsidRDefault="00FF7F59" w:rsidP="00FF7F59">
            <w:pPr>
              <w:rPr>
                <w:rFonts w:asciiTheme="minorHAnsi" w:hAnsiTheme="minorHAnsi"/>
              </w:rPr>
            </w:pPr>
          </w:p>
        </w:tc>
      </w:tr>
      <w:tr w:rsidR="00FF7F59" w14:paraId="48E800FF" w14:textId="77777777" w:rsidTr="00FF7F59">
        <w:trPr>
          <w:jc w:val="center"/>
        </w:trPr>
        <w:tc>
          <w:tcPr>
            <w:tcW w:w="3227" w:type="dxa"/>
          </w:tcPr>
          <w:p w14:paraId="45CD388F" w14:textId="70364637" w:rsidR="00FF7F59" w:rsidRPr="008F56B3" w:rsidRDefault="00751AAB" w:rsidP="00FF7F59">
            <w:pPr>
              <w:pStyle w:val="IOStabletext"/>
            </w:pPr>
            <w:r w:rsidRPr="00751AAB">
              <w:rPr>
                <w:rStyle w:val="IOStabletextboldChar"/>
              </w:rPr>
              <w:t>Extension</w:t>
            </w:r>
            <w:r>
              <w:t xml:space="preserve"> –</w:t>
            </w:r>
            <w:r w:rsidR="00FF7F59" w:rsidRPr="008F56B3">
              <w:t xml:space="preserve"> Taylor and Maclaurin </w:t>
            </w:r>
            <w:r w:rsidR="00FF7F59" w:rsidRPr="008F56B3">
              <w:lastRenderedPageBreak/>
              <w:t>Series</w:t>
            </w:r>
          </w:p>
        </w:tc>
        <w:tc>
          <w:tcPr>
            <w:tcW w:w="7371" w:type="dxa"/>
          </w:tcPr>
          <w:p w14:paraId="6CFFA82E" w14:textId="77777777" w:rsidR="00FF7F59" w:rsidRPr="00FF7F59" w:rsidRDefault="00FF7F59" w:rsidP="00FF7F59">
            <w:pPr>
              <w:pStyle w:val="IOStabletext"/>
            </w:pPr>
            <w:r w:rsidRPr="008F56B3">
              <w:lastRenderedPageBreak/>
              <w:t xml:space="preserve">Students will benefit from seeing Taylor series and Maclaurin series expansions </w:t>
            </w:r>
            <w:r w:rsidRPr="008F56B3">
              <w:lastRenderedPageBreak/>
              <w:t xml:space="preserve">- providing a link to (infinite) polynomial expansions and other, non-algebraic </w:t>
            </w:r>
            <w:r w:rsidRPr="00FF7F59">
              <w:t xml:space="preserve">functions. </w:t>
            </w:r>
          </w:p>
          <w:p w14:paraId="26E3CB92" w14:textId="0A051682" w:rsidR="00FF7F59" w:rsidRPr="00FF7F59" w:rsidRDefault="00FF7F59" w:rsidP="00751AAB">
            <w:pPr>
              <w:pStyle w:val="IOStabletext"/>
              <w:rPr>
                <w:u w:val="single"/>
              </w:rPr>
            </w:pPr>
            <w:r w:rsidRPr="00FF7F59">
              <w:t xml:space="preserve">The </w:t>
            </w:r>
            <w:hyperlink r:id="rId14" w:history="1">
              <w:r w:rsidRPr="00751AAB">
                <w:rPr>
                  <w:rStyle w:val="Hyperlink"/>
                </w:rPr>
                <w:t>Wikipedia page on Taylor series</w:t>
              </w:r>
            </w:hyperlink>
            <w:r w:rsidRPr="00FF7F59">
              <w:t xml:space="preserve"> will be accessible to most students.</w:t>
            </w:r>
          </w:p>
        </w:tc>
        <w:tc>
          <w:tcPr>
            <w:tcW w:w="4933" w:type="dxa"/>
          </w:tcPr>
          <w:p w14:paraId="0C057862" w14:textId="77777777" w:rsidR="00FF7F59" w:rsidRPr="008F56B3" w:rsidRDefault="00FF7F59" w:rsidP="00FF7F59">
            <w:pPr>
              <w:rPr>
                <w:rFonts w:asciiTheme="minorHAnsi" w:hAnsiTheme="minorHAnsi"/>
              </w:rPr>
            </w:pPr>
          </w:p>
        </w:tc>
      </w:tr>
      <w:tr w:rsidR="00FF7F59" w14:paraId="34E8A716" w14:textId="77777777" w:rsidTr="00FF7F59">
        <w:trPr>
          <w:jc w:val="center"/>
        </w:trPr>
        <w:tc>
          <w:tcPr>
            <w:tcW w:w="3227" w:type="dxa"/>
          </w:tcPr>
          <w:p w14:paraId="077B15B9" w14:textId="77777777" w:rsidR="00FF7F59" w:rsidRPr="008F56B3" w:rsidRDefault="00097C30" w:rsidP="00FF7F59">
            <w:pPr>
              <w:pStyle w:val="IOStabletext"/>
            </w:pPr>
            <w:r w:rsidRPr="00097C30">
              <w:rPr>
                <w:rFonts w:ascii="Arial" w:eastAsiaTheme="minorEastAsia" w:hAnsi="Arial"/>
                <w:position w:val="-10"/>
              </w:rPr>
              <w:object w:dxaOrig="2420" w:dyaOrig="320" w14:anchorId="23461967">
                <v:shape id="_x0000_i1026" type="#_x0000_t75" style="width:121.5pt;height:16.5pt" o:ole="">
                  <v:imagedata r:id="rId15" o:title=""/>
                </v:shape>
                <o:OLEObject Type="Embed" ProgID="Equation.DSMT4" ShapeID="_x0000_i1026" DrawAspect="Content" ObjectID="_1577082591" r:id="rId16"/>
              </w:object>
            </w:r>
            <w:r>
              <w:rPr>
                <w:rFonts w:ascii="Arial" w:eastAsiaTheme="minorEastAsia" w:hAnsi="Arial"/>
              </w:rPr>
              <w:t xml:space="preserve"> </w:t>
            </w:r>
          </w:p>
          <w:p w14:paraId="3E677608" w14:textId="77777777" w:rsidR="00FF7F59" w:rsidRPr="00FF7F59" w:rsidRDefault="00FF7F59" w:rsidP="00FF7F59">
            <w:pPr>
              <w:pStyle w:val="IOStabletext"/>
            </w:pPr>
            <w:r w:rsidRPr="00FF7F59">
              <w:t xml:space="preserve">where </w:t>
            </w:r>
            <w:r w:rsidR="00097C30" w:rsidRPr="00097C30">
              <w:rPr>
                <w:position w:val="-10"/>
              </w:rPr>
              <w:object w:dxaOrig="540" w:dyaOrig="320" w14:anchorId="66569D20">
                <v:shape id="_x0000_i1027" type="#_x0000_t75" style="width:27pt;height:16.5pt" o:ole="">
                  <v:imagedata r:id="rId17" o:title=""/>
                </v:shape>
                <o:OLEObject Type="Embed" ProgID="Equation.DSMT4" ShapeID="_x0000_i1027" DrawAspect="Content" ObjectID="_1577082592" r:id="rId18"/>
              </w:object>
            </w:r>
            <w:r w:rsidR="00097C30">
              <w:t xml:space="preserve"> </w:t>
            </w:r>
            <w:r w:rsidRPr="00FF7F59">
              <w:t xml:space="preserve">is the divisor, </w:t>
            </w:r>
          </w:p>
          <w:p w14:paraId="01373725" w14:textId="77777777" w:rsidR="00FF7F59" w:rsidRPr="00FF7F59" w:rsidRDefault="00097C30" w:rsidP="00FF7F59">
            <w:pPr>
              <w:pStyle w:val="IOStabletext"/>
            </w:pPr>
            <w:r w:rsidRPr="00097C30">
              <w:rPr>
                <w:position w:val="-10"/>
              </w:rPr>
              <w:object w:dxaOrig="560" w:dyaOrig="320" w14:anchorId="5D1E383D">
                <v:shape id="_x0000_i1028" type="#_x0000_t75" style="width:28.5pt;height:16.5pt" o:ole="">
                  <v:imagedata r:id="rId19" o:title=""/>
                </v:shape>
                <o:OLEObject Type="Embed" ProgID="Equation.DSMT4" ShapeID="_x0000_i1028" DrawAspect="Content" ObjectID="_1577082593" r:id="rId20"/>
              </w:object>
            </w:r>
            <w:r>
              <w:t xml:space="preserve"> </w:t>
            </w:r>
            <w:r w:rsidR="00FF7F59" w:rsidRPr="00FF7F59">
              <w:t xml:space="preserve">the quotient and </w:t>
            </w:r>
          </w:p>
          <w:p w14:paraId="6BB8B9AF" w14:textId="77777777" w:rsidR="00FF7F59" w:rsidRPr="008F56B3" w:rsidRDefault="00097C30" w:rsidP="00097C30">
            <w:pPr>
              <w:pStyle w:val="IOStabletext"/>
            </w:pPr>
            <w:r w:rsidRPr="00097C30">
              <w:rPr>
                <w:position w:val="-10"/>
              </w:rPr>
              <w:object w:dxaOrig="540" w:dyaOrig="320" w14:anchorId="5B2F58B4">
                <v:shape id="_x0000_i1029" type="#_x0000_t75" style="width:27pt;height:16.5pt" o:ole="">
                  <v:imagedata r:id="rId21" o:title=""/>
                </v:shape>
                <o:OLEObject Type="Embed" ProgID="Equation.DSMT4" ShapeID="_x0000_i1029" DrawAspect="Content" ObjectID="_1577082594" r:id="rId22"/>
              </w:object>
            </w:r>
            <w:r>
              <w:t xml:space="preserve"> </w:t>
            </w:r>
            <w:r w:rsidR="00FF7F59" w:rsidRPr="00FF7F59">
              <w:t>the remainder</w:t>
            </w:r>
          </w:p>
        </w:tc>
        <w:tc>
          <w:tcPr>
            <w:tcW w:w="7371" w:type="dxa"/>
          </w:tcPr>
          <w:p w14:paraId="1A47B6F7" w14:textId="77777777" w:rsidR="00FF7F59" w:rsidRPr="008F56B3" w:rsidRDefault="00FF7F59" w:rsidP="00FF7F59">
            <w:pPr>
              <w:pStyle w:val="IOStabletext"/>
            </w:pPr>
            <w:r w:rsidRPr="008F56B3">
              <w:t>It is useful to get students to review their numerical long division skills as a lead in to polynomial long division. The importance of setting out should become apparent.</w:t>
            </w:r>
          </w:p>
        </w:tc>
        <w:tc>
          <w:tcPr>
            <w:tcW w:w="4933" w:type="dxa"/>
          </w:tcPr>
          <w:p w14:paraId="496562F8" w14:textId="08B04F4D" w:rsidR="006E2936" w:rsidRDefault="006E2936" w:rsidP="00751AAB">
            <w:pPr>
              <w:pStyle w:val="IOStabletext"/>
            </w:pPr>
            <w:hyperlink r:id="rId23" w:history="1">
              <w:r w:rsidRPr="006E2936">
                <w:rPr>
                  <w:rStyle w:val="Hyperlink"/>
                </w:rPr>
                <w:t>MathsLink page on how to Build a Polynomial Factor Exploration Tool in GeoGebra</w:t>
              </w:r>
            </w:hyperlink>
          </w:p>
          <w:p w14:paraId="3BF158CE" w14:textId="751889A5" w:rsidR="00FF7F59" w:rsidRPr="008F56B3" w:rsidRDefault="00751AAB" w:rsidP="00751AAB">
            <w:pPr>
              <w:pStyle w:val="IOStabletext"/>
              <w:rPr>
                <w:rFonts w:asciiTheme="minorHAnsi" w:hAnsiTheme="minorHAnsi"/>
              </w:rPr>
            </w:pPr>
            <w:hyperlink r:id="rId24" w:history="1">
              <w:r w:rsidR="00FF7F59" w:rsidRPr="00751AAB">
                <w:rPr>
                  <w:rStyle w:val="Hyperlink"/>
                </w:rPr>
                <w:t xml:space="preserve">A silly </w:t>
              </w:r>
              <w:r w:rsidRPr="00751AAB">
                <w:rPr>
                  <w:rStyle w:val="Hyperlink"/>
                </w:rPr>
                <w:t>maths song about long division</w:t>
              </w:r>
            </w:hyperlink>
          </w:p>
        </w:tc>
      </w:tr>
      <w:tr w:rsidR="00FF7F59" w14:paraId="451677B4" w14:textId="77777777" w:rsidTr="00FF7F59">
        <w:trPr>
          <w:jc w:val="center"/>
        </w:trPr>
        <w:tc>
          <w:tcPr>
            <w:tcW w:w="3227" w:type="dxa"/>
          </w:tcPr>
          <w:p w14:paraId="5C5EBF12" w14:textId="77777777" w:rsidR="00FF7F59" w:rsidRPr="008F56B3" w:rsidRDefault="00FF7F59" w:rsidP="00FF7F59">
            <w:pPr>
              <w:pStyle w:val="IOStabletext"/>
            </w:pPr>
            <w:r w:rsidRPr="008F56B3">
              <w:t>CAS Support</w:t>
            </w:r>
          </w:p>
        </w:tc>
        <w:tc>
          <w:tcPr>
            <w:tcW w:w="7371" w:type="dxa"/>
          </w:tcPr>
          <w:p w14:paraId="39D50BB4" w14:textId="77777777" w:rsidR="00FF7F59" w:rsidRPr="00FF7F59" w:rsidRDefault="00FF7F59" w:rsidP="00FF7F59">
            <w:pPr>
              <w:pStyle w:val="IOStabletext"/>
            </w:pPr>
            <w:r w:rsidRPr="00FF7F59">
              <w:t>Both Wolfram Alpha and the GeoGebra CAS window can do polynomial division. Students may wish to access this support when checking their work.</w:t>
            </w:r>
          </w:p>
        </w:tc>
        <w:tc>
          <w:tcPr>
            <w:tcW w:w="4933" w:type="dxa"/>
          </w:tcPr>
          <w:p w14:paraId="3D2EBD07" w14:textId="77777777" w:rsidR="00FF7F59" w:rsidRPr="00FF7F59" w:rsidRDefault="00FF7F59" w:rsidP="00FF7F59">
            <w:pPr>
              <w:pStyle w:val="IOStabletext"/>
            </w:pPr>
          </w:p>
        </w:tc>
      </w:tr>
      <w:tr w:rsidR="00FF7F59" w14:paraId="3A25F31B" w14:textId="77777777" w:rsidTr="00FF7F59">
        <w:trPr>
          <w:jc w:val="center"/>
        </w:trPr>
        <w:tc>
          <w:tcPr>
            <w:tcW w:w="3227" w:type="dxa"/>
          </w:tcPr>
          <w:p w14:paraId="09FB1D25" w14:textId="77777777" w:rsidR="00FF7F59" w:rsidRPr="008F56B3" w:rsidRDefault="00FF7F59" w:rsidP="00FF7F59">
            <w:pPr>
              <w:pStyle w:val="IOStabletext"/>
            </w:pPr>
            <w:r w:rsidRPr="008F56B3">
              <w:t>Multiple Zeroes</w:t>
            </w:r>
          </w:p>
        </w:tc>
        <w:tc>
          <w:tcPr>
            <w:tcW w:w="7371" w:type="dxa"/>
          </w:tcPr>
          <w:p w14:paraId="0199C560" w14:textId="77777777" w:rsidR="00FF7F59" w:rsidRPr="00FF7F59" w:rsidRDefault="00FF7F59" w:rsidP="00FF7F59">
            <w:pPr>
              <w:pStyle w:val="IOStabletext"/>
            </w:pPr>
            <w:r w:rsidRPr="00FF7F59">
              <w:t xml:space="preserve">Students need to be able to predict the shapes of polynomials given factorised versions of the polynomial. </w:t>
            </w:r>
          </w:p>
        </w:tc>
        <w:tc>
          <w:tcPr>
            <w:tcW w:w="4933" w:type="dxa"/>
          </w:tcPr>
          <w:p w14:paraId="03359872" w14:textId="77777777" w:rsidR="00FF7F59" w:rsidRPr="00FF7F59" w:rsidRDefault="00FF7F59" w:rsidP="00FF7F59">
            <w:pPr>
              <w:pStyle w:val="IOStabletext"/>
            </w:pPr>
          </w:p>
        </w:tc>
      </w:tr>
      <w:tr w:rsidR="00FF7F59" w14:paraId="369131D4" w14:textId="77777777" w:rsidTr="00FF7F59">
        <w:trPr>
          <w:jc w:val="center"/>
        </w:trPr>
        <w:tc>
          <w:tcPr>
            <w:tcW w:w="3227" w:type="dxa"/>
          </w:tcPr>
          <w:p w14:paraId="5CEC1FCB" w14:textId="77777777" w:rsidR="00FF7F59" w:rsidRPr="008F56B3" w:rsidRDefault="00FF7F59" w:rsidP="00FF7F59">
            <w:pPr>
              <w:pStyle w:val="IOStabletext"/>
            </w:pPr>
          </w:p>
        </w:tc>
        <w:tc>
          <w:tcPr>
            <w:tcW w:w="7371" w:type="dxa"/>
          </w:tcPr>
          <w:p w14:paraId="698C9D30" w14:textId="77777777" w:rsidR="00FF7F59" w:rsidRPr="00FF7F59" w:rsidRDefault="00FF7F59" w:rsidP="00097C30">
            <w:pPr>
              <w:pStyle w:val="IOStabletext"/>
            </w:pPr>
            <w:r w:rsidRPr="00FF7F59">
              <w:t xml:space="preserve">Since polynomials of degree </w:t>
            </w:r>
            <w:bookmarkStart w:id="1" w:name="_GoBack"/>
            <w:bookmarkEnd w:id="1"/>
            <w:r w:rsidR="00097C30" w:rsidRPr="00097C30">
              <w:rPr>
                <w:position w:val="-6"/>
              </w:rPr>
              <w:object w:dxaOrig="200" w:dyaOrig="220" w14:anchorId="7A926F24">
                <v:shape id="_x0000_i1030" type="#_x0000_t75" style="width:10.5pt;height:10.5pt" o:ole="">
                  <v:imagedata r:id="rId25" o:title=""/>
                </v:shape>
                <o:OLEObject Type="Embed" ProgID="Equation.DSMT4" ShapeID="_x0000_i1030" DrawAspect="Content" ObjectID="_1577082595" r:id="rId26"/>
              </w:object>
            </w:r>
            <w:r w:rsidR="00097C30">
              <w:t xml:space="preserve"> </w:t>
            </w:r>
            <w:r w:rsidRPr="00FF7F59">
              <w:t xml:space="preserve">has </w:t>
            </w:r>
            <w:r w:rsidR="00097C30" w:rsidRPr="00097C30">
              <w:rPr>
                <w:position w:val="-6"/>
              </w:rPr>
              <w:object w:dxaOrig="200" w:dyaOrig="220" w14:anchorId="64B36D47">
                <v:shape id="_x0000_i1031" type="#_x0000_t75" style="width:10.5pt;height:10.5pt" o:ole="">
                  <v:imagedata r:id="rId25" o:title=""/>
                </v:shape>
                <o:OLEObject Type="Embed" ProgID="Equation.DSMT4" ShapeID="_x0000_i1031" DrawAspect="Content" ObjectID="_1577082596" r:id="rId27"/>
              </w:object>
            </w:r>
            <w:r w:rsidRPr="00FF7F59">
              <w:t xml:space="preserve"> roots, this is a wonderful time to introduce why we can’t “find” some of the roots until we learn about complex numbers.</w:t>
            </w:r>
          </w:p>
        </w:tc>
        <w:tc>
          <w:tcPr>
            <w:tcW w:w="4933" w:type="dxa"/>
          </w:tcPr>
          <w:p w14:paraId="4D46F77C" w14:textId="24BE5AE3" w:rsidR="00FF7F59" w:rsidRPr="00FF7F59" w:rsidRDefault="006E2936" w:rsidP="006E2936">
            <w:pPr>
              <w:pStyle w:val="IOStabletext"/>
            </w:pPr>
            <w:hyperlink r:id="rId28" w:history="1">
              <w:r w:rsidR="00FF7F59" w:rsidRPr="006E2936">
                <w:rPr>
                  <w:rStyle w:val="Hyperlink"/>
                </w:rPr>
                <w:t>A qui</w:t>
              </w:r>
              <w:r w:rsidRPr="006E2936">
                <w:rPr>
                  <w:rStyle w:val="Hyperlink"/>
                </w:rPr>
                <w:t>ck trick to finding fifth roots</w:t>
              </w:r>
            </w:hyperlink>
          </w:p>
        </w:tc>
      </w:tr>
      <w:tr w:rsidR="00FF7F59" w14:paraId="492DE302" w14:textId="77777777" w:rsidTr="00FF7F59">
        <w:trPr>
          <w:jc w:val="center"/>
        </w:trPr>
        <w:tc>
          <w:tcPr>
            <w:tcW w:w="3227" w:type="dxa"/>
          </w:tcPr>
          <w:p w14:paraId="7B316D6D" w14:textId="77777777" w:rsidR="00FF7F59" w:rsidRPr="008F56B3" w:rsidRDefault="00FF7F59" w:rsidP="00FF7F59">
            <w:pPr>
              <w:pStyle w:val="IOStabletext"/>
            </w:pPr>
            <w:r w:rsidRPr="008F56B3">
              <w:t>Sum and Product of Roots</w:t>
            </w:r>
          </w:p>
        </w:tc>
        <w:tc>
          <w:tcPr>
            <w:tcW w:w="7371" w:type="dxa"/>
          </w:tcPr>
          <w:p w14:paraId="323FDF84" w14:textId="77777777" w:rsidR="00FF7F59" w:rsidRPr="00FF7F59" w:rsidRDefault="00FF7F59" w:rsidP="00FF7F59">
            <w:pPr>
              <w:pStyle w:val="IOStabletext"/>
            </w:pPr>
            <w:r w:rsidRPr="00FF7F59">
              <w:t>The new Reference Sheet contains these formulas.</w:t>
            </w:r>
          </w:p>
        </w:tc>
        <w:tc>
          <w:tcPr>
            <w:tcW w:w="4933" w:type="dxa"/>
          </w:tcPr>
          <w:p w14:paraId="576E9A9A" w14:textId="77777777" w:rsidR="00FF7F59" w:rsidRPr="00FF7F59" w:rsidRDefault="00FF7F59" w:rsidP="00FF7F59">
            <w:pPr>
              <w:pStyle w:val="IOStabletext"/>
            </w:pPr>
          </w:p>
        </w:tc>
      </w:tr>
      <w:tr w:rsidR="00FF7F59" w14:paraId="1BB03737" w14:textId="77777777" w:rsidTr="00FF7F59">
        <w:trPr>
          <w:jc w:val="center"/>
        </w:trPr>
        <w:tc>
          <w:tcPr>
            <w:tcW w:w="3227" w:type="dxa"/>
          </w:tcPr>
          <w:p w14:paraId="006A8E22" w14:textId="77777777" w:rsidR="00FF7F59" w:rsidRPr="008F56B3" w:rsidRDefault="00FF7F59" w:rsidP="00FF7F59">
            <w:pPr>
              <w:pStyle w:val="IOStabletext"/>
            </w:pPr>
            <w:r w:rsidRPr="008F56B3">
              <w:t>Student Polynomial Exploration Tool</w:t>
            </w:r>
          </w:p>
        </w:tc>
        <w:tc>
          <w:tcPr>
            <w:tcW w:w="7371" w:type="dxa"/>
          </w:tcPr>
          <w:p w14:paraId="12DB6FFE" w14:textId="77777777" w:rsidR="00FF7F59" w:rsidRPr="00FF7F59" w:rsidRDefault="00FF7F59" w:rsidP="00FF7F59">
            <w:pPr>
              <w:pStyle w:val="IOStabletext"/>
            </w:pPr>
            <w:r w:rsidRPr="00FF7F59">
              <w:t>It is extremely helpful for students to experience the relationship between factors and roots through interactive use of GeoGebra. Especially helpful to explore multiple zeroes. See attached sheet.</w:t>
            </w:r>
          </w:p>
        </w:tc>
        <w:tc>
          <w:tcPr>
            <w:tcW w:w="4933" w:type="dxa"/>
          </w:tcPr>
          <w:p w14:paraId="2676192A" w14:textId="5C3F276B" w:rsidR="00FF7F59" w:rsidRPr="00FF7F59" w:rsidRDefault="006E2936" w:rsidP="006E2936">
            <w:pPr>
              <w:pStyle w:val="IOStabletext"/>
            </w:pPr>
            <w:hyperlink r:id="rId29" w:history="1">
              <w:r w:rsidRPr="006E2936">
                <w:rPr>
                  <w:rStyle w:val="Hyperlink"/>
                </w:rPr>
                <w:t>Zuber GeoGebra How To –</w:t>
              </w:r>
              <w:r w:rsidR="00FF7F59" w:rsidRPr="006E2936">
                <w:rPr>
                  <w:rStyle w:val="Hyperlink"/>
                </w:rPr>
                <w:t xml:space="preserve"> Polynomial</w:t>
              </w:r>
              <w:r w:rsidRPr="006E2936">
                <w:rPr>
                  <w:rStyle w:val="Hyperlink"/>
                </w:rPr>
                <w:t xml:space="preserve"> Factor Exploration Tools</w:t>
              </w:r>
            </w:hyperlink>
          </w:p>
        </w:tc>
      </w:tr>
      <w:tr w:rsidR="00FF7F59" w14:paraId="4B04D856" w14:textId="77777777" w:rsidTr="00FF7F59">
        <w:trPr>
          <w:jc w:val="center"/>
        </w:trPr>
        <w:tc>
          <w:tcPr>
            <w:tcW w:w="3227" w:type="dxa"/>
          </w:tcPr>
          <w:p w14:paraId="5242F7BB" w14:textId="77777777" w:rsidR="00FF7F59" w:rsidRPr="008F56B3" w:rsidRDefault="00FF7F59" w:rsidP="00FF7F59">
            <w:pPr>
              <w:pStyle w:val="IOStabletext"/>
            </w:pPr>
            <w:r w:rsidRPr="008F56B3">
              <w:t>Consequences of the Factor Theorem. In Extension 1, we generalise the result from the Quadratic Identity Theorem to all polynomials.</w:t>
            </w:r>
          </w:p>
        </w:tc>
        <w:tc>
          <w:tcPr>
            <w:tcW w:w="7371" w:type="dxa"/>
          </w:tcPr>
          <w:p w14:paraId="6E26B2B6" w14:textId="77777777" w:rsidR="00FF7F59" w:rsidRPr="008F56B3" w:rsidRDefault="00FF7F59" w:rsidP="00FF7F59">
            <w:pPr>
              <w:rPr>
                <w:rFonts w:asciiTheme="minorHAnsi" w:hAnsiTheme="minorHAnsi"/>
              </w:rPr>
            </w:pPr>
          </w:p>
        </w:tc>
        <w:tc>
          <w:tcPr>
            <w:tcW w:w="4933" w:type="dxa"/>
          </w:tcPr>
          <w:p w14:paraId="5DA2D651" w14:textId="77777777" w:rsidR="00FF7F59" w:rsidRPr="008F56B3" w:rsidRDefault="00FF7F59" w:rsidP="00FF7F59">
            <w:pPr>
              <w:rPr>
                <w:rFonts w:asciiTheme="minorHAnsi" w:hAnsiTheme="minorHAnsi"/>
              </w:rPr>
            </w:pPr>
          </w:p>
        </w:tc>
      </w:tr>
    </w:tbl>
    <w:p w14:paraId="13EC3F33" w14:textId="77777777" w:rsidR="00094F45" w:rsidRPr="00094F45" w:rsidRDefault="00094F45" w:rsidP="00094F45">
      <w:pPr>
        <w:pStyle w:val="IOSbodytext"/>
      </w:pPr>
    </w:p>
    <w:sectPr w:rsidR="00094F45" w:rsidRPr="00094F45" w:rsidSect="00CF3F35">
      <w:footerReference w:type="default" r:id="rId30"/>
      <w:type w:val="continuous"/>
      <w:pgSz w:w="16840" w:h="11900" w:orient="landscape"/>
      <w:pgMar w:top="567" w:right="958" w:bottom="567" w:left="567" w:header="454"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7CDD0" w14:textId="77777777" w:rsidR="00AC1FB9" w:rsidRDefault="00AC1FB9" w:rsidP="00480FD7">
      <w:r>
        <w:separator/>
      </w:r>
    </w:p>
  </w:endnote>
  <w:endnote w:type="continuationSeparator" w:id="0">
    <w:p w14:paraId="40DF9C26" w14:textId="77777777" w:rsidR="00AC1FB9" w:rsidRDefault="00AC1FB9"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929B" w14:textId="7B23C935" w:rsidR="00995898" w:rsidRPr="004E338C" w:rsidRDefault="00E17FC3" w:rsidP="004456C2">
    <w:pPr>
      <w:pStyle w:val="IOSfooter"/>
      <w:tabs>
        <w:tab w:val="clear" w:pos="5245"/>
        <w:tab w:val="clear" w:pos="10773"/>
        <w:tab w:val="left" w:pos="15026"/>
        <w:tab w:val="right" w:pos="15168"/>
      </w:tabs>
      <w:spacing w:before="240"/>
    </w:pPr>
    <w:r>
      <w:t>Preliminary mathematics extension 1</w:t>
    </w:r>
    <w:r w:rsidR="00995898">
      <w:tab/>
    </w:r>
    <w:r w:rsidR="00995898" w:rsidRPr="004E338C">
      <w:fldChar w:fldCharType="begin"/>
    </w:r>
    <w:r w:rsidR="00995898" w:rsidRPr="004E338C">
      <w:instrText xml:space="preserve"> PAGE </w:instrText>
    </w:r>
    <w:r w:rsidR="00995898" w:rsidRPr="004E338C">
      <w:fldChar w:fldCharType="separate"/>
    </w:r>
    <w:r w:rsidR="004456C2">
      <w:rPr>
        <w:noProof/>
      </w:rPr>
      <w:t>2</w:t>
    </w:r>
    <w:r w:rsidR="0099589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FF862" w14:textId="77777777" w:rsidR="00AC1FB9" w:rsidRDefault="00AC1FB9" w:rsidP="00480FD7">
      <w:r>
        <w:separator/>
      </w:r>
    </w:p>
  </w:footnote>
  <w:footnote w:type="continuationSeparator" w:id="0">
    <w:p w14:paraId="1178AAA9" w14:textId="77777777" w:rsidR="00AC1FB9" w:rsidRDefault="00AC1FB9" w:rsidP="0048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B771408"/>
    <w:multiLevelType w:val="multilevel"/>
    <w:tmpl w:val="7256F1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59E047D"/>
    <w:multiLevelType w:val="multilevel"/>
    <w:tmpl w:val="BC14E2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B4186"/>
    <w:multiLevelType w:val="multilevel"/>
    <w:tmpl w:val="EA3E0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7EF3B78"/>
    <w:multiLevelType w:val="multilevel"/>
    <w:tmpl w:val="552282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BC59C5"/>
    <w:multiLevelType w:val="hybridMultilevel"/>
    <w:tmpl w:val="093A4B2E"/>
    <w:lvl w:ilvl="0" w:tplc="E408CE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AE5939"/>
    <w:multiLevelType w:val="multilevel"/>
    <w:tmpl w:val="45183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1"/>
  </w:num>
  <w:num w:numId="4">
    <w:abstractNumId w:val="8"/>
  </w:num>
  <w:num w:numId="5">
    <w:abstractNumId w:val="6"/>
  </w:num>
  <w:num w:numId="6">
    <w:abstractNumId w:val="12"/>
  </w:num>
  <w:num w:numId="7">
    <w:abstractNumId w:val="7"/>
  </w:num>
  <w:num w:numId="8">
    <w:abstractNumId w:val="4"/>
  </w:num>
  <w:num w:numId="9">
    <w:abstractNumId w:val="5"/>
  </w:num>
  <w:num w:numId="10">
    <w:abstractNumId w:val="2"/>
  </w:num>
  <w:num w:numId="11">
    <w:abstractNumId w:val="10"/>
  </w:num>
  <w:num w:numId="12">
    <w:abstractNumId w:val="1"/>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89"/>
    <w:rsid w:val="00010671"/>
    <w:rsid w:val="00010B54"/>
    <w:rsid w:val="000472FC"/>
    <w:rsid w:val="00053F71"/>
    <w:rsid w:val="00057151"/>
    <w:rsid w:val="00076446"/>
    <w:rsid w:val="00094F45"/>
    <w:rsid w:val="00097C30"/>
    <w:rsid w:val="000C3B9A"/>
    <w:rsid w:val="000C4732"/>
    <w:rsid w:val="000F58A0"/>
    <w:rsid w:val="000F6821"/>
    <w:rsid w:val="00100563"/>
    <w:rsid w:val="001339AC"/>
    <w:rsid w:val="00186118"/>
    <w:rsid w:val="001B2686"/>
    <w:rsid w:val="001E1B75"/>
    <w:rsid w:val="001F1D0D"/>
    <w:rsid w:val="001F6BBE"/>
    <w:rsid w:val="00215471"/>
    <w:rsid w:val="00215956"/>
    <w:rsid w:val="002208BE"/>
    <w:rsid w:val="00225BA0"/>
    <w:rsid w:val="002407B2"/>
    <w:rsid w:val="00281A35"/>
    <w:rsid w:val="00281F50"/>
    <w:rsid w:val="00286108"/>
    <w:rsid w:val="0029066F"/>
    <w:rsid w:val="00295F9F"/>
    <w:rsid w:val="002A07C0"/>
    <w:rsid w:val="002D379D"/>
    <w:rsid w:val="002D47A6"/>
    <w:rsid w:val="003030F2"/>
    <w:rsid w:val="00304EF2"/>
    <w:rsid w:val="00334511"/>
    <w:rsid w:val="00341F8B"/>
    <w:rsid w:val="00361327"/>
    <w:rsid w:val="00367FB2"/>
    <w:rsid w:val="003B3062"/>
    <w:rsid w:val="004456C2"/>
    <w:rsid w:val="004668BC"/>
    <w:rsid w:val="00480C44"/>
    <w:rsid w:val="00480FD7"/>
    <w:rsid w:val="004B4B05"/>
    <w:rsid w:val="004E338C"/>
    <w:rsid w:val="004F35B3"/>
    <w:rsid w:val="00504555"/>
    <w:rsid w:val="005202C7"/>
    <w:rsid w:val="005206D6"/>
    <w:rsid w:val="005402DE"/>
    <w:rsid w:val="00541AE4"/>
    <w:rsid w:val="005764DE"/>
    <w:rsid w:val="00595476"/>
    <w:rsid w:val="005B53AD"/>
    <w:rsid w:val="005C7E88"/>
    <w:rsid w:val="005D1A4E"/>
    <w:rsid w:val="00652107"/>
    <w:rsid w:val="0065761A"/>
    <w:rsid w:val="00662F4D"/>
    <w:rsid w:val="006735CE"/>
    <w:rsid w:val="00684627"/>
    <w:rsid w:val="006914F9"/>
    <w:rsid w:val="006B2B59"/>
    <w:rsid w:val="006B2D4C"/>
    <w:rsid w:val="006E2936"/>
    <w:rsid w:val="006E2F78"/>
    <w:rsid w:val="006F2409"/>
    <w:rsid w:val="006F64C0"/>
    <w:rsid w:val="007052B6"/>
    <w:rsid w:val="00735393"/>
    <w:rsid w:val="007464AC"/>
    <w:rsid w:val="00751AAB"/>
    <w:rsid w:val="00756B8D"/>
    <w:rsid w:val="007773AD"/>
    <w:rsid w:val="00786115"/>
    <w:rsid w:val="007A070B"/>
    <w:rsid w:val="007A3B38"/>
    <w:rsid w:val="007C3CDD"/>
    <w:rsid w:val="007D0956"/>
    <w:rsid w:val="0080474D"/>
    <w:rsid w:val="00804F4F"/>
    <w:rsid w:val="00846B99"/>
    <w:rsid w:val="00861F4B"/>
    <w:rsid w:val="00863F90"/>
    <w:rsid w:val="008750C7"/>
    <w:rsid w:val="008A3814"/>
    <w:rsid w:val="008C2BB3"/>
    <w:rsid w:val="008F5BE1"/>
    <w:rsid w:val="009212B3"/>
    <w:rsid w:val="00923F94"/>
    <w:rsid w:val="0093161F"/>
    <w:rsid w:val="00937F54"/>
    <w:rsid w:val="0095110A"/>
    <w:rsid w:val="0096036A"/>
    <w:rsid w:val="009608E0"/>
    <w:rsid w:val="0096553E"/>
    <w:rsid w:val="00981BF1"/>
    <w:rsid w:val="00994359"/>
    <w:rsid w:val="00994991"/>
    <w:rsid w:val="00995898"/>
    <w:rsid w:val="009D04B0"/>
    <w:rsid w:val="009D798B"/>
    <w:rsid w:val="009E5D61"/>
    <w:rsid w:val="009F3967"/>
    <w:rsid w:val="00A21F45"/>
    <w:rsid w:val="00A370B3"/>
    <w:rsid w:val="00A57066"/>
    <w:rsid w:val="00A67905"/>
    <w:rsid w:val="00AA168F"/>
    <w:rsid w:val="00AA5AC4"/>
    <w:rsid w:val="00AB62F9"/>
    <w:rsid w:val="00AC1FB9"/>
    <w:rsid w:val="00AC269B"/>
    <w:rsid w:val="00AC44EA"/>
    <w:rsid w:val="00AE67E3"/>
    <w:rsid w:val="00AE79D8"/>
    <w:rsid w:val="00B2374D"/>
    <w:rsid w:val="00B24CBA"/>
    <w:rsid w:val="00B301C2"/>
    <w:rsid w:val="00B40474"/>
    <w:rsid w:val="00B7767B"/>
    <w:rsid w:val="00BC097D"/>
    <w:rsid w:val="00BC353F"/>
    <w:rsid w:val="00BE1B6F"/>
    <w:rsid w:val="00BF0A5C"/>
    <w:rsid w:val="00BF6866"/>
    <w:rsid w:val="00C0318E"/>
    <w:rsid w:val="00C069F5"/>
    <w:rsid w:val="00C2213A"/>
    <w:rsid w:val="00C262AE"/>
    <w:rsid w:val="00C2705F"/>
    <w:rsid w:val="00C27C7D"/>
    <w:rsid w:val="00C34ECC"/>
    <w:rsid w:val="00CA461E"/>
    <w:rsid w:val="00CD7B01"/>
    <w:rsid w:val="00CE670F"/>
    <w:rsid w:val="00CF3F35"/>
    <w:rsid w:val="00D2375A"/>
    <w:rsid w:val="00D558C2"/>
    <w:rsid w:val="00D63DF9"/>
    <w:rsid w:val="00D67117"/>
    <w:rsid w:val="00D7685E"/>
    <w:rsid w:val="00DA535B"/>
    <w:rsid w:val="00DD21D5"/>
    <w:rsid w:val="00DD36C0"/>
    <w:rsid w:val="00DD636E"/>
    <w:rsid w:val="00DE67EB"/>
    <w:rsid w:val="00DF3B99"/>
    <w:rsid w:val="00DF6F06"/>
    <w:rsid w:val="00E172AF"/>
    <w:rsid w:val="00E17FC3"/>
    <w:rsid w:val="00E26D32"/>
    <w:rsid w:val="00E42AE6"/>
    <w:rsid w:val="00E42B13"/>
    <w:rsid w:val="00E45779"/>
    <w:rsid w:val="00E639B8"/>
    <w:rsid w:val="00E67C89"/>
    <w:rsid w:val="00E86FE9"/>
    <w:rsid w:val="00E95EA2"/>
    <w:rsid w:val="00EC1887"/>
    <w:rsid w:val="00EF6D6A"/>
    <w:rsid w:val="00F209C7"/>
    <w:rsid w:val="00F373A4"/>
    <w:rsid w:val="00F420F0"/>
    <w:rsid w:val="00F4748E"/>
    <w:rsid w:val="00F64899"/>
    <w:rsid w:val="00F827A9"/>
    <w:rsid w:val="00F93A8A"/>
    <w:rsid w:val="00FA0D11"/>
    <w:rsid w:val="00FB50C6"/>
    <w:rsid w:val="00FB7716"/>
    <w:rsid w:val="00FF7F59"/>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61441A"/>
  <w14:defaultImageDpi w14:val="300"/>
  <w15:docId w15:val="{D0A9FC68-E764-445A-AB6F-07E4720F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7A3B38"/>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7A3B38"/>
    <w:pPr>
      <w:numPr>
        <w:numId w:val="5"/>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7A3B38"/>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E67C89"/>
    <w:pPr>
      <w:tabs>
        <w:tab w:val="center" w:pos="4513"/>
        <w:tab w:val="right" w:pos="9026"/>
      </w:tabs>
    </w:pPr>
  </w:style>
  <w:style w:type="character" w:customStyle="1" w:styleId="HeaderChar">
    <w:name w:val="Header Char"/>
    <w:basedOn w:val="DefaultParagraphFont"/>
    <w:link w:val="Header"/>
    <w:uiPriority w:val="99"/>
    <w:rsid w:val="00E67C89"/>
    <w:rPr>
      <w:rFonts w:ascii="Arial" w:hAnsi="Arial"/>
      <w:sz w:val="24"/>
      <w:szCs w:val="24"/>
      <w:lang w:eastAsia="en-US"/>
    </w:rPr>
  </w:style>
  <w:style w:type="character" w:styleId="Hyperlink">
    <w:name w:val="Hyperlink"/>
    <w:basedOn w:val="DefaultParagraphFont"/>
    <w:uiPriority w:val="99"/>
    <w:unhideWhenUsed/>
    <w:rsid w:val="007A3B38"/>
    <w:rPr>
      <w:color w:val="0000FF" w:themeColor="hyperlink"/>
      <w:u w:val="single"/>
    </w:rPr>
  </w:style>
  <w:style w:type="paragraph" w:styleId="ListParagraph">
    <w:name w:val="List Paragraph"/>
    <w:basedOn w:val="Normal"/>
    <w:uiPriority w:val="34"/>
    <w:qFormat/>
    <w:rsid w:val="007A3B38"/>
    <w:pPr>
      <w:ind w:left="720"/>
      <w:contextualSpacing/>
    </w:pPr>
    <w:rPr>
      <w:rFonts w:asciiTheme="minorHAnsi" w:hAnsiTheme="minorHAnsi" w:cstheme="minorBidi"/>
    </w:rPr>
  </w:style>
  <w:style w:type="paragraph" w:customStyle="1" w:styleId="5TableHeading">
    <w:name w:val="5 Table Heading"/>
    <w:basedOn w:val="Heading7"/>
    <w:rsid w:val="007A3B38"/>
    <w:pPr>
      <w:keepLines w:val="0"/>
      <w:widowControl w:val="0"/>
      <w:spacing w:before="140" w:after="60"/>
      <w:jc w:val="center"/>
    </w:pPr>
    <w:rPr>
      <w:rFonts w:ascii="Arial" w:eastAsia="Times New Roman" w:hAnsi="Arial" w:cs="Times New Roman"/>
      <w:b/>
      <w:i w:val="0"/>
      <w:iCs w:val="0"/>
      <w:color w:val="auto"/>
      <w:sz w:val="20"/>
      <w:szCs w:val="20"/>
    </w:rPr>
  </w:style>
  <w:style w:type="character" w:styleId="FollowedHyperlink">
    <w:name w:val="FollowedHyperlink"/>
    <w:basedOn w:val="DefaultParagraphFont"/>
    <w:uiPriority w:val="99"/>
    <w:semiHidden/>
    <w:unhideWhenUsed/>
    <w:rsid w:val="007A3B38"/>
    <w:rPr>
      <w:color w:val="800080" w:themeColor="followedHyperlink"/>
      <w:u w:val="single"/>
    </w:rPr>
  </w:style>
  <w:style w:type="paragraph" w:customStyle="1" w:styleId="Bullett1">
    <w:name w:val="Bullett 1"/>
    <w:basedOn w:val="Normal"/>
    <w:rsid w:val="009E5D61"/>
    <w:pPr>
      <w:spacing w:before="57"/>
      <w:ind w:left="510" w:hanging="510"/>
    </w:pPr>
    <w:rPr>
      <w:rFonts w:eastAsia="Times New Roman"/>
      <w:sz w:val="22"/>
      <w:szCs w:val="20"/>
      <w:lang w:val="en-US"/>
    </w:rPr>
  </w:style>
  <w:style w:type="paragraph" w:customStyle="1" w:styleId="Bullett2">
    <w:name w:val="Bullett 2"/>
    <w:basedOn w:val="Normal"/>
    <w:next w:val="Normal"/>
    <w:rsid w:val="00E172AF"/>
    <w:pPr>
      <w:spacing w:before="57"/>
      <w:ind w:left="907" w:hanging="454"/>
    </w:pPr>
    <w:rPr>
      <w:rFonts w:ascii="Helvetica" w:eastAsia="Times New Roman" w:hAnsi="Helvetica"/>
      <w:sz w:val="22"/>
      <w:szCs w:val="20"/>
      <w:lang w:val="en-US"/>
    </w:rPr>
  </w:style>
  <w:style w:type="character" w:customStyle="1" w:styleId="timesroman12pt">
    <w:name w:val="times roman 12pt"/>
    <w:qFormat/>
    <w:rsid w:val="008A3814"/>
    <w:rPr>
      <w:rFonts w:ascii="Times New Roman" w:hAnsi="Times New Roman"/>
      <w:i w:val="0"/>
      <w:sz w:val="24"/>
    </w:rPr>
  </w:style>
  <w:style w:type="character" w:styleId="PlaceholderText">
    <w:name w:val="Placeholder Text"/>
    <w:basedOn w:val="DefaultParagraphFont"/>
    <w:uiPriority w:val="99"/>
    <w:semiHidden/>
    <w:rsid w:val="00FF7F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hanacademy.org/partner-content/pixar" TargetMode="External"/><Relationship Id="rId18" Type="http://schemas.openxmlformats.org/officeDocument/2006/relationships/oleObject" Target="embeddings/oleObject3.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gomaths.net/3747." TargetMode="External"/><Relationship Id="rId17" Type="http://schemas.openxmlformats.org/officeDocument/2006/relationships/image" Target="media/image4.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s://mathslinks.net/faculty/geogebra-howto-build-a-polynomial-factor-exploration-t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gomaths.net/266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mathslinks.net/faculty/geogebra-howto-build-a-polynomial-factor-exploration-tool" TargetMode="External"/><Relationship Id="rId28" Type="http://schemas.openxmlformats.org/officeDocument/2006/relationships/hyperlink" Target="http://gomaths.net/3493" TargetMode="Externa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a/education.nsw.gov.au/folderview?id=0B_YpsU7XJITVNlhaZUhsT0Rscm8&amp;usp=sharing&amp;tid=0B_YpsU7XJITVNXM1NjhnRnNjTjQ" TargetMode="External"/><Relationship Id="rId14" Type="http://schemas.openxmlformats.org/officeDocument/2006/relationships/hyperlink" Target="https://en.wikipedia.org/wiki/Taylor_series" TargetMode="External"/><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9381-BB63-4948-8435-B0803E13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Polynomials</vt:lpstr>
    </vt:vector>
  </TitlesOfParts>
  <Company>NSW, Department of Education and Training</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Polynomials</dc:title>
  <dc:subject/>
  <dc:creator>Jensen, Amy</dc:creator>
  <cp:keywords/>
  <dc:description/>
  <cp:lastModifiedBy>Jensen, Amy</cp:lastModifiedBy>
  <cp:revision>2</cp:revision>
  <cp:lastPrinted>2016-07-07T23:41:00Z</cp:lastPrinted>
  <dcterms:created xsi:type="dcterms:W3CDTF">2018-01-09T22:43:00Z</dcterms:created>
  <dcterms:modified xsi:type="dcterms:W3CDTF">2018-01-09T22:43:00Z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