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7107" w14:textId="77777777" w:rsidR="00EC1887" w:rsidRDefault="007052B6" w:rsidP="00856F98">
      <w:pPr>
        <w:pStyle w:val="IOSHeading1"/>
        <w:tabs>
          <w:tab w:val="left" w:pos="2552"/>
        </w:tabs>
        <w:spacing w:after="48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1A6F71">
        <w:t>Probability</w:t>
      </w:r>
    </w:p>
    <w:p w14:paraId="351D0C69" w14:textId="77777777" w:rsidR="00856F98" w:rsidRDefault="00856F98" w:rsidP="00856F98">
      <w:pPr>
        <w:pStyle w:val="IOSbodytext"/>
        <w:spacing w:after="0"/>
      </w:pPr>
      <w:r w:rsidRPr="00856F98">
        <w:t>It should be noted that students may need to be introduced or (hopefully only) reintroduced to Playing Cards, Dice, Board Games, Raffles, and Sporting Draws as some students may be very unfamiliar with the terms involved in these leisure pursuits . Although students should have seen them previously in Primary and Junior High School, cultural and geographic backgrounds may mean some students have a limited understanding of some well used scenarios.</w:t>
      </w:r>
    </w:p>
    <w:p w14:paraId="3671E88B" w14:textId="77777777" w:rsidR="00856F98" w:rsidRDefault="00856F98" w:rsidP="00856F98">
      <w:pPr>
        <w:pStyle w:val="IOSheading2"/>
      </w:pPr>
      <w:r>
        <w:t>Scope and sequence note</w:t>
      </w:r>
    </w:p>
    <w:p w14:paraId="4AF2F283" w14:textId="77777777" w:rsidR="00856F98" w:rsidRDefault="00856F98" w:rsidP="00856F98">
      <w:pPr>
        <w:pStyle w:val="IOSbodytext"/>
      </w:pPr>
      <w:r w:rsidRPr="00856F98">
        <w:t xml:space="preserve">As </w:t>
      </w:r>
      <w:r>
        <w:t>p</w:t>
      </w:r>
      <w:r w:rsidRPr="00856F98">
        <w:t>robability is a small stand-alone topic it lends itself to being placed anywhere within the HSC year of the course</w:t>
      </w:r>
      <w:r>
        <w:t>.</w:t>
      </w:r>
    </w:p>
    <w:p w14:paraId="654E7982" w14:textId="0C474D2F" w:rsidR="00856F98" w:rsidRPr="00856F98" w:rsidRDefault="00856F98" w:rsidP="00856F98">
      <w:pPr>
        <w:pStyle w:val="IOSbodytext"/>
      </w:pPr>
      <w:r w:rsidRPr="00856F98">
        <w:rPr>
          <w:rStyle w:val="IOSboldtextChar"/>
        </w:rPr>
        <w:t xml:space="preserve">Scope and Sequence note for schools teaching Extension 1 and Extension 2 as add on to </w:t>
      </w:r>
      <w:r w:rsidR="00BD4A5B" w:rsidRPr="00856F98">
        <w:rPr>
          <w:rStyle w:val="IOSboldtextChar"/>
        </w:rPr>
        <w:t>Mathematics (</w:t>
      </w:r>
      <w:r w:rsidRPr="00856F98">
        <w:rPr>
          <w:rStyle w:val="IOSboldtextChar"/>
        </w:rPr>
        <w:t xml:space="preserve">2U), not as stand-alone classes: </w:t>
      </w:r>
      <w:r w:rsidRPr="00856F98">
        <w:t xml:space="preserve">As </w:t>
      </w:r>
      <w:r>
        <w:t>p</w:t>
      </w:r>
      <w:r w:rsidRPr="00856F98">
        <w:t xml:space="preserve">ermutations and </w:t>
      </w:r>
      <w:r>
        <w:t>c</w:t>
      </w:r>
      <w:r w:rsidRPr="00856F98">
        <w:t xml:space="preserve">ombinations and </w:t>
      </w:r>
      <w:r>
        <w:t>f</w:t>
      </w:r>
      <w:r w:rsidRPr="00856F98">
        <w:t xml:space="preserve">urther </w:t>
      </w:r>
      <w:r>
        <w:t>p</w:t>
      </w:r>
      <w:r w:rsidRPr="00856F98">
        <w:t xml:space="preserve">robability (Extension 1) and </w:t>
      </w:r>
      <w:r>
        <w:t>h</w:t>
      </w:r>
      <w:r w:rsidRPr="00856F98">
        <w:t>arder 3 Unit (Extension 2) rely on a knowledge of probability it will be necessary to manoeuvre probability to the early part of the HSC year to allow students to have completed the Mathematics</w:t>
      </w:r>
      <w:r w:rsidR="00BD4A5B">
        <w:t xml:space="preserve"> </w:t>
      </w:r>
      <w:r w:rsidRPr="00856F98">
        <w:t>(2U) content before encountering it in Extension 1 and 2.</w:t>
      </w:r>
    </w:p>
    <w:p w14:paraId="0E985BFA" w14:textId="77777777" w:rsidR="003076AC" w:rsidRDefault="001A6F71" w:rsidP="001A6F71">
      <w:pPr>
        <w:pStyle w:val="IOSheading2"/>
      </w:pPr>
      <w:r>
        <w:t>Resources</w:t>
      </w:r>
    </w:p>
    <w:p w14:paraId="060D40F1" w14:textId="15FA73D9" w:rsidR="00856F98" w:rsidRDefault="00BD4A5B" w:rsidP="00856F98">
      <w:pPr>
        <w:pStyle w:val="IOSList"/>
      </w:pPr>
      <w:hyperlink r:id="rId9" w:history="1">
        <w:r w:rsidR="00856F98" w:rsidRPr="00BD4A5B">
          <w:rPr>
            <w:rStyle w:val="Hyperlink"/>
          </w:rPr>
          <w:t>AMSI website</w:t>
        </w:r>
      </w:hyperlink>
      <w:r w:rsidR="00856F98" w:rsidRPr="00856F98">
        <w:t xml:space="preserve"> </w:t>
      </w:r>
      <w:r>
        <w:t>–</w:t>
      </w:r>
      <w:r w:rsidR="00856F98" w:rsidRPr="00856F98">
        <w:t xml:space="preserve"> Supporting Australian Mathematics Project (A guide for teachers </w:t>
      </w:r>
      <w:r>
        <w:t xml:space="preserve">of </w:t>
      </w:r>
      <w:r w:rsidR="00856F98" w:rsidRPr="00856F98">
        <w:t>y</w:t>
      </w:r>
      <w:r w:rsidR="00856F98">
        <w:t>ea</w:t>
      </w:r>
      <w:r w:rsidR="00856F98" w:rsidRPr="00856F98">
        <w:t>r 11 and 12) has a good compr</w:t>
      </w:r>
      <w:r>
        <w:t>ehensive overview of probability</w:t>
      </w:r>
      <w:r w:rsidR="00856F98">
        <w:t>.</w:t>
      </w:r>
      <w:bookmarkStart w:id="0" w:name="_GoBack"/>
      <w:bookmarkEnd w:id="0"/>
    </w:p>
    <w:p w14:paraId="45811D17" w14:textId="77777777" w:rsidR="00856F98" w:rsidRDefault="00856F98">
      <w:pPr>
        <w:rPr>
          <w:rFonts w:eastAsia="SimSun"/>
          <w:lang w:eastAsia="zh-CN"/>
        </w:rPr>
      </w:pPr>
      <w: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Description w:val="This table has some blank cells, as not all content, teaching strategies and activities, and resources are reliant on one another. "/>
      </w:tblPr>
      <w:tblGrid>
        <w:gridCol w:w="2431"/>
        <w:gridCol w:w="8267"/>
        <w:gridCol w:w="4597"/>
      </w:tblGrid>
      <w:tr w:rsidR="00856F98" w:rsidRPr="00411BA1" w14:paraId="441478D2" w14:textId="77777777" w:rsidTr="008653DD">
        <w:trPr>
          <w:tblHeader/>
        </w:trPr>
        <w:tc>
          <w:tcPr>
            <w:tcW w:w="0" w:type="auto"/>
            <w:shd w:val="clear" w:color="auto" w:fill="000000" w:themeFill="text1"/>
            <w:tcMar>
              <w:top w:w="100" w:type="dxa"/>
              <w:left w:w="100" w:type="dxa"/>
              <w:bottom w:w="100" w:type="dxa"/>
              <w:right w:w="100" w:type="dxa"/>
            </w:tcMar>
          </w:tcPr>
          <w:p w14:paraId="0545D666" w14:textId="77777777" w:rsidR="00856F98" w:rsidRPr="00F73499" w:rsidRDefault="00856F98" w:rsidP="00856F98">
            <w:pPr>
              <w:pStyle w:val="IOStableheader"/>
              <w:jc w:val="center"/>
            </w:pPr>
            <w:r w:rsidRPr="00F73499">
              <w:lastRenderedPageBreak/>
              <w:t>Content</w:t>
            </w:r>
          </w:p>
        </w:tc>
        <w:tc>
          <w:tcPr>
            <w:tcW w:w="0" w:type="auto"/>
            <w:shd w:val="clear" w:color="auto" w:fill="000000" w:themeFill="text1"/>
            <w:tcMar>
              <w:top w:w="100" w:type="dxa"/>
              <w:left w:w="100" w:type="dxa"/>
              <w:bottom w:w="100" w:type="dxa"/>
              <w:right w:w="100" w:type="dxa"/>
            </w:tcMar>
          </w:tcPr>
          <w:p w14:paraId="633EAEC4" w14:textId="77777777" w:rsidR="00856F98" w:rsidRPr="00F73499" w:rsidRDefault="00856F98" w:rsidP="00856F98">
            <w:pPr>
              <w:pStyle w:val="IOStableheader"/>
              <w:jc w:val="center"/>
            </w:pPr>
            <w:r w:rsidRPr="00F73499">
              <w:t>Teaching Strategies and Activities</w:t>
            </w:r>
          </w:p>
        </w:tc>
        <w:tc>
          <w:tcPr>
            <w:tcW w:w="0" w:type="auto"/>
            <w:shd w:val="clear" w:color="auto" w:fill="000000" w:themeFill="text1"/>
            <w:tcMar>
              <w:top w:w="100" w:type="dxa"/>
              <w:left w:w="100" w:type="dxa"/>
              <w:bottom w:w="100" w:type="dxa"/>
              <w:right w:w="100" w:type="dxa"/>
            </w:tcMar>
          </w:tcPr>
          <w:p w14:paraId="76C37961" w14:textId="77777777" w:rsidR="00856F98" w:rsidRPr="00F73499" w:rsidRDefault="00856F98" w:rsidP="00856F98">
            <w:pPr>
              <w:pStyle w:val="IOStableheader"/>
              <w:jc w:val="center"/>
            </w:pPr>
            <w:r w:rsidRPr="00F73499">
              <w:t>Resources</w:t>
            </w:r>
          </w:p>
        </w:tc>
      </w:tr>
      <w:tr w:rsidR="00856F98" w:rsidRPr="00411BA1" w14:paraId="5D0865A2" w14:textId="77777777" w:rsidTr="008653DD">
        <w:tc>
          <w:tcPr>
            <w:tcW w:w="0" w:type="auto"/>
            <w:tcBorders>
              <w:left w:val="single" w:sz="6" w:space="0" w:color="000000"/>
              <w:bottom w:val="single" w:sz="6" w:space="0" w:color="000000"/>
              <w:right w:val="single" w:sz="6" w:space="0" w:color="000000"/>
            </w:tcBorders>
            <w:tcMar>
              <w:left w:w="40" w:type="dxa"/>
              <w:right w:w="40" w:type="dxa"/>
            </w:tcMar>
            <w:vAlign w:val="center"/>
          </w:tcPr>
          <w:p w14:paraId="606BF06C" w14:textId="77777777" w:rsidR="00856F98" w:rsidRPr="00411BA1" w:rsidRDefault="00856F98" w:rsidP="00856F98">
            <w:pPr>
              <w:pStyle w:val="IOStabletext"/>
            </w:pPr>
            <w:r w:rsidRPr="00411BA1">
              <w:t>Random experiments, equally likely outcomes.</w:t>
            </w:r>
          </w:p>
        </w:tc>
        <w:tc>
          <w:tcPr>
            <w:tcW w:w="0" w:type="auto"/>
            <w:tcMar>
              <w:top w:w="100" w:type="dxa"/>
              <w:left w:w="100" w:type="dxa"/>
              <w:bottom w:w="100" w:type="dxa"/>
              <w:right w:w="100" w:type="dxa"/>
            </w:tcMar>
          </w:tcPr>
          <w:p w14:paraId="27F33ACC" w14:textId="77777777" w:rsidR="00856F98" w:rsidRPr="00411BA1" w:rsidRDefault="00856F98" w:rsidP="00856F98">
            <w:pPr>
              <w:pStyle w:val="IOStabletext"/>
            </w:pPr>
            <w:r w:rsidRPr="00411BA1">
              <w:t>Discussion of everyday events and probability misconceptions is a good starting point for this topic.</w:t>
            </w:r>
          </w:p>
          <w:p w14:paraId="39237C9A" w14:textId="733D8B9C" w:rsidR="00856F98" w:rsidRPr="00411BA1" w:rsidRDefault="00BD4A5B" w:rsidP="00BD4A5B">
            <w:pPr>
              <w:pStyle w:val="IOStabletext"/>
            </w:pPr>
            <w:hyperlink r:id="rId10" w:history="1">
              <w:r w:rsidRPr="00BD4A5B">
                <w:rPr>
                  <w:rStyle w:val="Hyperlink"/>
                </w:rPr>
                <w:t xml:space="preserve">ABC Splash resource – </w:t>
              </w:r>
              <w:r w:rsidR="00856F98" w:rsidRPr="00BD4A5B">
                <w:rPr>
                  <w:rStyle w:val="Hyperlink"/>
                </w:rPr>
                <w:t>Random experiments: Random or not</w:t>
              </w:r>
            </w:hyperlink>
          </w:p>
        </w:tc>
        <w:tc>
          <w:tcPr>
            <w:tcW w:w="0" w:type="auto"/>
            <w:tcMar>
              <w:top w:w="100" w:type="dxa"/>
              <w:left w:w="100" w:type="dxa"/>
              <w:bottom w:w="100" w:type="dxa"/>
              <w:right w:w="100" w:type="dxa"/>
            </w:tcMar>
          </w:tcPr>
          <w:p w14:paraId="216FE747" w14:textId="120346E3" w:rsidR="00856F98" w:rsidRPr="00411BA1" w:rsidRDefault="00856F98" w:rsidP="00BD4A5B">
            <w:pPr>
              <w:pStyle w:val="IOStabletext"/>
            </w:pPr>
            <w:r w:rsidRPr="00411BA1">
              <w:t>Although this is a primary teaching resource,</w:t>
            </w:r>
            <w:r w:rsidRPr="00BD4A5B">
              <w:t xml:space="preserve"> this </w:t>
            </w:r>
            <w:hyperlink r:id="rId11" w:history="1">
              <w:r w:rsidR="00BD4A5B" w:rsidRPr="00BD4A5B">
                <w:rPr>
                  <w:rStyle w:val="Hyperlink"/>
                </w:rPr>
                <w:t xml:space="preserve">Centre for Innovation in Mathematics Teaching </w:t>
              </w:r>
              <w:r w:rsidRPr="00BD4A5B">
                <w:rPr>
                  <w:rStyle w:val="Hyperlink"/>
                </w:rPr>
                <w:t>booklet</w:t>
              </w:r>
            </w:hyperlink>
            <w:r w:rsidRPr="00BD4A5B">
              <w:t xml:space="preserve"> has a good list of misconceptions and an activity to use</w:t>
            </w:r>
          </w:p>
        </w:tc>
      </w:tr>
      <w:tr w:rsidR="00856F98" w:rsidRPr="00411BA1" w14:paraId="4F94D9E4" w14:textId="77777777" w:rsidTr="008653DD">
        <w:tc>
          <w:tcPr>
            <w:tcW w:w="0" w:type="auto"/>
            <w:tcBorders>
              <w:left w:val="single" w:sz="6" w:space="0" w:color="000000"/>
              <w:bottom w:val="single" w:sz="6" w:space="0" w:color="000000"/>
              <w:right w:val="single" w:sz="6" w:space="0" w:color="000000"/>
            </w:tcBorders>
            <w:tcMar>
              <w:left w:w="40" w:type="dxa"/>
              <w:right w:w="40" w:type="dxa"/>
            </w:tcMar>
            <w:vAlign w:val="center"/>
          </w:tcPr>
          <w:p w14:paraId="262FE5B3" w14:textId="77777777" w:rsidR="00856F98" w:rsidRPr="00411BA1" w:rsidRDefault="00856F98" w:rsidP="00856F98">
            <w:pPr>
              <w:pStyle w:val="IOStabletext"/>
            </w:pPr>
            <w:r w:rsidRPr="00411BA1">
              <w:t>Sample spaces and event spaces.</w:t>
            </w:r>
          </w:p>
        </w:tc>
        <w:tc>
          <w:tcPr>
            <w:tcW w:w="0" w:type="auto"/>
            <w:tcMar>
              <w:top w:w="100" w:type="dxa"/>
              <w:left w:w="100" w:type="dxa"/>
              <w:bottom w:w="100" w:type="dxa"/>
              <w:right w:w="100" w:type="dxa"/>
            </w:tcMar>
          </w:tcPr>
          <w:p w14:paraId="168BC272" w14:textId="77777777" w:rsidR="00856F98" w:rsidRPr="00856F98" w:rsidRDefault="00856F98" w:rsidP="00856F98">
            <w:pPr>
              <w:pStyle w:val="IOStabletext"/>
            </w:pPr>
            <w:r w:rsidRPr="00856F98">
              <w:t xml:space="preserve">Encountering a large variety of types of events and sample spaces at this point is encouraged as the syllabus does include </w:t>
            </w:r>
          </w:p>
          <w:p w14:paraId="0AAF4EA8" w14:textId="77777777" w:rsidR="00856F98" w:rsidRPr="00856F98" w:rsidRDefault="00856F98" w:rsidP="00856F98">
            <w:pPr>
              <w:pStyle w:val="IOStabletext"/>
            </w:pPr>
            <w:r w:rsidRPr="00856F98">
              <w:t>“Students should be familiar with the common terms used in popular activities and games, hence examples should be given in pastimes such as playing cards, Monopoly and backgammon as well as in gaming activities such as lotteries and raffles, the tossing of coins and the throwing of dice.”</w:t>
            </w:r>
          </w:p>
        </w:tc>
        <w:tc>
          <w:tcPr>
            <w:tcW w:w="0" w:type="auto"/>
            <w:tcMar>
              <w:top w:w="100" w:type="dxa"/>
              <w:left w:w="100" w:type="dxa"/>
              <w:bottom w:w="100" w:type="dxa"/>
              <w:right w:w="100" w:type="dxa"/>
            </w:tcMar>
          </w:tcPr>
          <w:p w14:paraId="1B1D56BA" w14:textId="63B33074" w:rsidR="00856F98" w:rsidRPr="00BD4A5B" w:rsidRDefault="00BD4A5B" w:rsidP="00856F98">
            <w:pPr>
              <w:pStyle w:val="IOStabletext"/>
            </w:pPr>
            <w:hyperlink r:id="rId12" w:history="1">
              <w:r w:rsidR="00856F98" w:rsidRPr="00BD4A5B">
                <w:rPr>
                  <w:rStyle w:val="Hyperlink"/>
                </w:rPr>
                <w:t>Playing card probabilities</w:t>
              </w:r>
            </w:hyperlink>
          </w:p>
        </w:tc>
      </w:tr>
      <w:tr w:rsidR="00856F98" w:rsidRPr="00411BA1" w14:paraId="14A400EC" w14:textId="77777777" w:rsidTr="008653DD">
        <w:tc>
          <w:tcPr>
            <w:tcW w:w="0" w:type="auto"/>
            <w:tcBorders>
              <w:left w:val="single" w:sz="6" w:space="0" w:color="000000"/>
              <w:bottom w:val="single" w:sz="6" w:space="0" w:color="000000"/>
              <w:right w:val="single" w:sz="6" w:space="0" w:color="000000"/>
            </w:tcBorders>
            <w:tcMar>
              <w:left w:w="40" w:type="dxa"/>
              <w:right w:w="40" w:type="dxa"/>
            </w:tcMar>
            <w:vAlign w:val="center"/>
          </w:tcPr>
          <w:p w14:paraId="1C77D2C7" w14:textId="77777777" w:rsidR="00856F98" w:rsidRPr="00411BA1" w:rsidRDefault="00856F98" w:rsidP="00856F98">
            <w:pPr>
              <w:pStyle w:val="IOStabletext"/>
            </w:pPr>
            <w:r w:rsidRPr="00411BA1">
              <w:t>Venn diagrams, mutually exclusive and non-mutually exclusive events.</w:t>
            </w:r>
          </w:p>
        </w:tc>
        <w:tc>
          <w:tcPr>
            <w:tcW w:w="0" w:type="auto"/>
            <w:tcMar>
              <w:top w:w="100" w:type="dxa"/>
              <w:left w:w="100" w:type="dxa"/>
              <w:bottom w:w="100" w:type="dxa"/>
              <w:right w:w="100" w:type="dxa"/>
            </w:tcMar>
          </w:tcPr>
          <w:p w14:paraId="3BDDD2B1" w14:textId="77777777" w:rsidR="00856F98" w:rsidRPr="00411BA1" w:rsidRDefault="00856F98" w:rsidP="00856F98">
            <w:pPr>
              <w:pStyle w:val="IOStabletext"/>
            </w:pPr>
            <w:r w:rsidRPr="00411BA1">
              <w:t>Although Venn Diagrams were not in the stage 4 and stage 5 syllabuses until the recent syllabus change, most students have either encountered them in other subjects, in Stage 3 or have been shown them as an enrichment activity in their junior maths lessons.</w:t>
            </w:r>
          </w:p>
          <w:p w14:paraId="47E8A532" w14:textId="77777777" w:rsidR="00856F98" w:rsidRPr="00411BA1" w:rsidRDefault="00856F98" w:rsidP="00856F98">
            <w:pPr>
              <w:pStyle w:val="IOStabletext"/>
            </w:pPr>
            <w:r w:rsidRPr="00411BA1">
              <w:t>Students should be introduced or reintroduced to Venn Diagrams using the “</w:t>
            </w:r>
            <w:r w:rsidRPr="00411BA1">
              <w:rPr>
                <w:i/>
              </w:rPr>
              <w:t xml:space="preserve">popular activities and games” </w:t>
            </w:r>
            <w:r w:rsidRPr="00411BA1">
              <w:t>they are to be familiar with (see previous point)</w:t>
            </w:r>
            <w:r>
              <w:t>.</w:t>
            </w:r>
          </w:p>
        </w:tc>
        <w:tc>
          <w:tcPr>
            <w:tcW w:w="0" w:type="auto"/>
            <w:tcMar>
              <w:top w:w="100" w:type="dxa"/>
              <w:left w:w="100" w:type="dxa"/>
              <w:bottom w:w="100" w:type="dxa"/>
              <w:right w:w="100" w:type="dxa"/>
            </w:tcMar>
          </w:tcPr>
          <w:p w14:paraId="47D36A5B" w14:textId="278E281B" w:rsidR="00856F98" w:rsidRPr="00BD4A5B" w:rsidRDefault="00856F98" w:rsidP="00856F98">
            <w:pPr>
              <w:pStyle w:val="IOStabletext"/>
            </w:pPr>
            <w:r w:rsidRPr="00856F98">
              <w:t xml:space="preserve">Mutually exclusive events - </w:t>
            </w:r>
            <w:hyperlink r:id="rId13" w:history="1">
              <w:r w:rsidRPr="00BD4A5B">
                <w:rPr>
                  <w:rStyle w:val="Hyperlink"/>
                </w:rPr>
                <w:t xml:space="preserve">Maths is fun covers Venn diagrams and “And </w:t>
              </w:r>
              <w:proofErr w:type="spellStart"/>
              <w:r w:rsidRPr="00BD4A5B">
                <w:rPr>
                  <w:rStyle w:val="Hyperlink"/>
                </w:rPr>
                <w:t>and</w:t>
              </w:r>
              <w:proofErr w:type="spellEnd"/>
              <w:r w:rsidRPr="00BD4A5B">
                <w:rPr>
                  <w:rStyle w:val="Hyperlink"/>
                </w:rPr>
                <w:t xml:space="preserve"> or”</w:t>
              </w:r>
            </w:hyperlink>
          </w:p>
        </w:tc>
      </w:tr>
      <w:tr w:rsidR="00856F98" w:rsidRPr="00411BA1" w14:paraId="641DF1DE" w14:textId="77777777" w:rsidTr="008653DD">
        <w:tc>
          <w:tcPr>
            <w:tcW w:w="0" w:type="auto"/>
            <w:tcBorders>
              <w:left w:val="single" w:sz="6" w:space="0" w:color="000000"/>
              <w:bottom w:val="single" w:sz="6" w:space="0" w:color="000000"/>
              <w:right w:val="single" w:sz="6" w:space="0" w:color="000000"/>
            </w:tcBorders>
            <w:tcMar>
              <w:left w:w="40" w:type="dxa"/>
              <w:right w:w="40" w:type="dxa"/>
            </w:tcMar>
            <w:vAlign w:val="center"/>
          </w:tcPr>
          <w:p w14:paraId="72C42BBB" w14:textId="573DD852" w:rsidR="00856F98" w:rsidRPr="00411BA1" w:rsidRDefault="00DE4840" w:rsidP="00DE4840">
            <w:pPr>
              <w:pStyle w:val="IOStabletext"/>
            </w:pPr>
            <w:r>
              <w:t>Probability of ‘or’</w:t>
            </w:r>
            <w:r w:rsidR="00856F98" w:rsidRPr="00411BA1">
              <w:t xml:space="preserve"> and </w:t>
            </w:r>
            <w:r>
              <w:t>‘and’</w:t>
            </w:r>
            <w:r w:rsidR="00856F98" w:rsidRPr="00411BA1">
              <w:t xml:space="preserve"> events.</w:t>
            </w:r>
          </w:p>
        </w:tc>
        <w:tc>
          <w:tcPr>
            <w:tcW w:w="0" w:type="auto"/>
            <w:tcMar>
              <w:top w:w="100" w:type="dxa"/>
              <w:left w:w="100" w:type="dxa"/>
              <w:bottom w:w="100" w:type="dxa"/>
              <w:right w:w="100" w:type="dxa"/>
            </w:tcMar>
          </w:tcPr>
          <w:p w14:paraId="6ACEA881" w14:textId="77777777" w:rsidR="00856F98" w:rsidRPr="00411BA1" w:rsidRDefault="00856F98" w:rsidP="00856F98">
            <w:pPr>
              <w:pStyle w:val="IOStabletext"/>
            </w:pPr>
            <w:r w:rsidRPr="00411BA1">
              <w:t>Notation: The Mathematics</w:t>
            </w:r>
            <w:r>
              <w:t xml:space="preserve"> </w:t>
            </w:r>
            <w:r w:rsidRPr="00411BA1">
              <w:t>(2U) syllabus uses set notation to describe some concepts, however this notation has not been used in recent HSC exams.</w:t>
            </w:r>
          </w:p>
          <w:p w14:paraId="15235B92" w14:textId="77777777" w:rsidR="00856F98" w:rsidRPr="00411BA1" w:rsidRDefault="00856F98" w:rsidP="00856F98">
            <w:pPr>
              <w:pStyle w:val="IOStabletext"/>
            </w:pPr>
            <w:r w:rsidRPr="00411BA1">
              <w:t xml:space="preserve">Students should be familiar with the notation </w:t>
            </w:r>
          </w:p>
          <w:p w14:paraId="087CA983" w14:textId="77777777" w:rsidR="00856F98" w:rsidRPr="00411BA1" w:rsidRDefault="00856F98" w:rsidP="00856F98">
            <w:pPr>
              <w:pStyle w:val="IOStabletext"/>
            </w:pPr>
            <w:r w:rsidRPr="00411BA1">
              <w:t xml:space="preserve">of complementary events </w:t>
            </w:r>
          </w:p>
          <w:p w14:paraId="08812EBA" w14:textId="4ED16FE5" w:rsidR="008379E7" w:rsidRPr="00411BA1" w:rsidRDefault="00856F98" w:rsidP="00856F98">
            <w:pPr>
              <w:pStyle w:val="IOStabletext"/>
            </w:pPr>
            <w:r w:rsidRPr="00411BA1">
              <w:t>i.e.</w:t>
            </w:r>
            <w:r w:rsidR="008379E7" w:rsidRPr="008379E7">
              <w:rPr>
                <w:position w:val="-10"/>
              </w:rPr>
              <w:object w:dxaOrig="2560" w:dyaOrig="320" w14:anchorId="4247C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27.5pt;height:16.5pt" o:ole="">
                  <v:imagedata r:id="rId14" o:title=""/>
                </v:shape>
                <o:OLEObject Type="Embed" ProgID="Equation.DSMT4" ShapeID="_x0000_i1214" DrawAspect="Content" ObjectID="_1569056356" r:id="rId15"/>
              </w:object>
            </w:r>
            <w:r w:rsidR="008379E7">
              <w:t xml:space="preserve"> </w:t>
            </w:r>
          </w:p>
          <w:p w14:paraId="0931D760" w14:textId="77777777" w:rsidR="00856F98" w:rsidRPr="00411BA1" w:rsidRDefault="00856F98" w:rsidP="00856F98">
            <w:pPr>
              <w:pStyle w:val="IOStabletext"/>
            </w:pPr>
            <w:r w:rsidRPr="00411BA1">
              <w:t>although again not used within questions in the HSC</w:t>
            </w:r>
          </w:p>
        </w:tc>
        <w:tc>
          <w:tcPr>
            <w:tcW w:w="0" w:type="auto"/>
            <w:tcMar>
              <w:top w:w="100" w:type="dxa"/>
              <w:left w:w="100" w:type="dxa"/>
              <w:bottom w:w="100" w:type="dxa"/>
              <w:right w:w="100" w:type="dxa"/>
            </w:tcMar>
          </w:tcPr>
          <w:p w14:paraId="58202450" w14:textId="77777777" w:rsidR="00856F98" w:rsidRPr="00856F98" w:rsidRDefault="00856F98" w:rsidP="00856F98">
            <w:pPr>
              <w:pStyle w:val="IOStabletext"/>
            </w:pPr>
            <w:r>
              <w:t>S</w:t>
            </w:r>
            <w:r w:rsidRPr="00856F98">
              <w:t>ee above</w:t>
            </w:r>
            <w:r>
              <w:t>.</w:t>
            </w:r>
          </w:p>
        </w:tc>
      </w:tr>
      <w:tr w:rsidR="00856F98" w:rsidRPr="00411BA1" w14:paraId="1D6411D7" w14:textId="77777777" w:rsidTr="008653DD">
        <w:tc>
          <w:tcPr>
            <w:tcW w:w="0" w:type="auto"/>
            <w:tcBorders>
              <w:left w:val="single" w:sz="6" w:space="0" w:color="000000"/>
              <w:bottom w:val="single" w:sz="6" w:space="0" w:color="000000"/>
              <w:right w:val="single" w:sz="6" w:space="0" w:color="000000"/>
            </w:tcBorders>
            <w:tcMar>
              <w:left w:w="40" w:type="dxa"/>
              <w:right w:w="40" w:type="dxa"/>
            </w:tcMar>
            <w:vAlign w:val="center"/>
          </w:tcPr>
          <w:p w14:paraId="6BD4C58F" w14:textId="77777777" w:rsidR="00856F98" w:rsidRPr="00411BA1" w:rsidRDefault="00856F98" w:rsidP="00856F98">
            <w:pPr>
              <w:pStyle w:val="IOStabletext"/>
            </w:pPr>
            <w:r w:rsidRPr="00411BA1">
              <w:t>Multi-stage events and probability tree diagrams.</w:t>
            </w:r>
          </w:p>
        </w:tc>
        <w:tc>
          <w:tcPr>
            <w:tcW w:w="0" w:type="auto"/>
            <w:tcMar>
              <w:top w:w="100" w:type="dxa"/>
              <w:left w:w="100" w:type="dxa"/>
              <w:bottom w:w="100" w:type="dxa"/>
              <w:right w:w="100" w:type="dxa"/>
            </w:tcMar>
          </w:tcPr>
          <w:p w14:paraId="5CABFF13" w14:textId="77777777" w:rsidR="00856F98" w:rsidRPr="00411BA1" w:rsidRDefault="00856F98" w:rsidP="00856F98">
            <w:pPr>
              <w:pStyle w:val="IOStabletext"/>
            </w:pPr>
            <w:r w:rsidRPr="00411BA1">
              <w:t>Multi-stage events should be introduced through modelling of these events.</w:t>
            </w:r>
          </w:p>
          <w:p w14:paraId="4D656D1E" w14:textId="77777777" w:rsidR="00856F98" w:rsidRPr="00411BA1" w:rsidRDefault="00856F98" w:rsidP="00856F98">
            <w:pPr>
              <w:pStyle w:val="IOStabletext"/>
            </w:pPr>
            <w:r w:rsidRPr="00411BA1">
              <w:t>As many HSC style questions involve marbles being draw from bags and the use of dice and playing cards it is a good opportunity to familiarise students further with “</w:t>
            </w:r>
            <w:r w:rsidRPr="00411BA1">
              <w:rPr>
                <w:i/>
              </w:rPr>
              <w:t xml:space="preserve">popular activities and games” </w:t>
            </w:r>
          </w:p>
          <w:p w14:paraId="47180358" w14:textId="77777777" w:rsidR="00856F98" w:rsidRPr="00411BA1" w:rsidRDefault="00856F98" w:rsidP="00856F98">
            <w:pPr>
              <w:pStyle w:val="IOStabletext"/>
            </w:pPr>
            <w:r w:rsidRPr="00411BA1">
              <w:t xml:space="preserve">Discussions should involve </w:t>
            </w:r>
          </w:p>
          <w:p w14:paraId="7F4532F0" w14:textId="77777777" w:rsidR="00856F98" w:rsidRPr="00411BA1" w:rsidRDefault="00856F98" w:rsidP="00856F98">
            <w:pPr>
              <w:pStyle w:val="IOStablelist"/>
            </w:pPr>
            <w:r w:rsidRPr="00411BA1">
              <w:t xml:space="preserve">When probabilities should (and can) be calculated with a table or a tree diagram and how multistage event probabilities are calculated. </w:t>
            </w:r>
            <w:r>
              <w:t xml:space="preserve"> </w:t>
            </w:r>
            <w:proofErr w:type="gramStart"/>
            <w:r w:rsidRPr="00411BA1">
              <w:t>e.g</w:t>
            </w:r>
            <w:proofErr w:type="gramEnd"/>
            <w:r w:rsidRPr="00411BA1">
              <w:t>. Multiply along the branches of a tree diagram, add across the branches of a tree diagram</w:t>
            </w:r>
            <w:r>
              <w:t>.</w:t>
            </w:r>
          </w:p>
          <w:p w14:paraId="1CC01794" w14:textId="77777777" w:rsidR="00856F98" w:rsidRPr="00411BA1" w:rsidRDefault="00856F98" w:rsidP="00856F98">
            <w:pPr>
              <w:pStyle w:val="IOStablelist"/>
            </w:pPr>
            <w:r>
              <w:t>W</w:t>
            </w:r>
            <w:r w:rsidRPr="00411BA1">
              <w:t>hat alternative terminology is used for replacement and non-replacement and what situations normally involve replacement or non-replacement</w:t>
            </w:r>
            <w:r>
              <w:t>.</w:t>
            </w:r>
          </w:p>
        </w:tc>
        <w:tc>
          <w:tcPr>
            <w:tcW w:w="0" w:type="auto"/>
            <w:tcMar>
              <w:top w:w="100" w:type="dxa"/>
              <w:left w:w="100" w:type="dxa"/>
              <w:bottom w:w="100" w:type="dxa"/>
              <w:right w:w="100" w:type="dxa"/>
            </w:tcMar>
          </w:tcPr>
          <w:p w14:paraId="10553BF2" w14:textId="6BE2CED5" w:rsidR="00856F98" w:rsidRPr="00856F98" w:rsidRDefault="00DE4840" w:rsidP="00856F98">
            <w:pPr>
              <w:pStyle w:val="IOStabletext"/>
            </w:pPr>
            <w:hyperlink r:id="rId16" w:history="1">
              <w:r w:rsidRPr="00DE4840">
                <w:rPr>
                  <w:rStyle w:val="Hyperlink"/>
                </w:rPr>
                <w:t>The birthday paradox</w:t>
              </w:r>
            </w:hyperlink>
          </w:p>
          <w:p w14:paraId="0562F7FF" w14:textId="051734B1" w:rsidR="00856F98" w:rsidRPr="00DE4840" w:rsidRDefault="00DE4840" w:rsidP="00856F98">
            <w:pPr>
              <w:pStyle w:val="IOStabletext"/>
            </w:pPr>
            <w:hyperlink r:id="rId17" w:history="1">
              <w:r w:rsidR="00856F98" w:rsidRPr="00DE4840">
                <w:rPr>
                  <w:rStyle w:val="Hyperlink"/>
                </w:rPr>
                <w:t>Lottery</w:t>
              </w:r>
              <w:r w:rsidRPr="00DE4840">
                <w:rPr>
                  <w:rStyle w:val="Hyperlink"/>
                </w:rPr>
                <w:t xml:space="preserve"> YouTube video</w:t>
              </w:r>
              <w:r w:rsidR="00856F98" w:rsidRPr="00DE4840">
                <w:rPr>
                  <w:rStyle w:val="Hyperlink"/>
                </w:rPr>
                <w:t xml:space="preserve"> - </w:t>
              </w:r>
              <w:proofErr w:type="spellStart"/>
              <w:r w:rsidR="00856F98" w:rsidRPr="00DE4840">
                <w:rPr>
                  <w:rStyle w:val="Hyperlink"/>
                </w:rPr>
                <w:t>Numberphile</w:t>
              </w:r>
              <w:proofErr w:type="spellEnd"/>
            </w:hyperlink>
          </w:p>
          <w:p w14:paraId="40D09800" w14:textId="0176B823" w:rsidR="00856F98" w:rsidRPr="00411BA1" w:rsidRDefault="00DE4840" w:rsidP="00DE4840">
            <w:pPr>
              <w:pStyle w:val="IOStabletext"/>
              <w:rPr>
                <w:rFonts w:asciiTheme="minorHAnsi" w:hAnsiTheme="minorHAnsi"/>
              </w:rPr>
            </w:pPr>
            <w:hyperlink r:id="rId18" w:history="1">
              <w:r w:rsidR="00856F98" w:rsidRPr="00DE4840">
                <w:rPr>
                  <w:rStyle w:val="Hyperlink"/>
                </w:rPr>
                <w:t>Dice and Tables - The last banana thought experiment</w:t>
              </w:r>
            </w:hyperlink>
          </w:p>
        </w:tc>
      </w:tr>
    </w:tbl>
    <w:p w14:paraId="230D36C8" w14:textId="77777777" w:rsidR="00856F98" w:rsidRPr="00856F98" w:rsidRDefault="00856F98" w:rsidP="00856F98">
      <w:pPr>
        <w:pStyle w:val="IOSList"/>
      </w:pPr>
    </w:p>
    <w:sectPr w:rsidR="00856F98" w:rsidRPr="00856F98" w:rsidSect="00BD4A5B">
      <w:footerReference w:type="default" r:id="rId19"/>
      <w:type w:val="continuous"/>
      <w:pgSz w:w="16840" w:h="11900" w:orient="landscape"/>
      <w:pgMar w:top="567" w:right="958" w:bottom="567" w:left="56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D4BF" w14:textId="77777777" w:rsidR="000364EE" w:rsidRDefault="000364EE" w:rsidP="00480FD7">
      <w:r>
        <w:separator/>
      </w:r>
    </w:p>
  </w:endnote>
  <w:endnote w:type="continuationSeparator" w:id="0">
    <w:p w14:paraId="33B44B66" w14:textId="77777777" w:rsidR="000364EE" w:rsidRDefault="000364E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2352" w14:textId="7756441B" w:rsidR="00995898" w:rsidRPr="004E338C" w:rsidRDefault="00AA1AD8" w:rsidP="00BD4A5B">
    <w:pPr>
      <w:pStyle w:val="IOSfooter"/>
      <w:tabs>
        <w:tab w:val="clear" w:pos="5245"/>
        <w:tab w:val="clear" w:pos="10773"/>
        <w:tab w:val="right" w:pos="15026"/>
        <w:tab w:val="left" w:pos="15309"/>
      </w:tabs>
      <w:spacing w:before="120"/>
    </w:pPr>
    <w:r>
      <w:t>M</w:t>
    </w:r>
    <w:r w:rsidR="000364EE">
      <w:t>athematics</w:t>
    </w:r>
    <w:r w:rsidR="000364EE">
      <w:tab/>
    </w:r>
    <w:r w:rsidR="00995898" w:rsidRPr="004E338C">
      <w:fldChar w:fldCharType="begin"/>
    </w:r>
    <w:r w:rsidR="00995898" w:rsidRPr="004E338C">
      <w:instrText xml:space="preserve"> PAGE </w:instrText>
    </w:r>
    <w:r w:rsidR="00995898" w:rsidRPr="004E338C">
      <w:fldChar w:fldCharType="separate"/>
    </w:r>
    <w:r w:rsidR="003C416B">
      <w:rPr>
        <w:noProof/>
      </w:rPr>
      <w:t>3</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C9EA" w14:textId="77777777" w:rsidR="000364EE" w:rsidRDefault="000364EE" w:rsidP="00480FD7">
      <w:r>
        <w:separator/>
      </w:r>
    </w:p>
  </w:footnote>
  <w:footnote w:type="continuationSeparator" w:id="0">
    <w:p w14:paraId="39802100" w14:textId="77777777" w:rsidR="000364EE" w:rsidRDefault="000364EE"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C3082"/>
    <w:multiLevelType w:val="multilevel"/>
    <w:tmpl w:val="610A5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5E3F86"/>
    <w:multiLevelType w:val="multilevel"/>
    <w:tmpl w:val="8CFE9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A6469"/>
    <w:multiLevelType w:val="multilevel"/>
    <w:tmpl w:val="D3B2F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A2E34FC"/>
    <w:multiLevelType w:val="multilevel"/>
    <w:tmpl w:val="0C09001D"/>
    <w:numStyleLink w:val="IOSList1new"/>
  </w:abstractNum>
  <w:abstractNum w:abstractNumId="25"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43224"/>
    <w:multiLevelType w:val="multilevel"/>
    <w:tmpl w:val="83582A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7"/>
  </w:num>
  <w:num w:numId="2">
    <w:abstractNumId w:val="27"/>
  </w:num>
  <w:num w:numId="3">
    <w:abstractNumId w:val="27"/>
  </w:num>
  <w:num w:numId="4">
    <w:abstractNumId w:val="21"/>
  </w:num>
  <w:num w:numId="5">
    <w:abstractNumId w:val="0"/>
  </w:num>
  <w:num w:numId="6">
    <w:abstractNumId w:val="19"/>
  </w:num>
  <w:num w:numId="7">
    <w:abstractNumId w:val="19"/>
  </w:num>
  <w:num w:numId="8">
    <w:abstractNumId w:val="18"/>
  </w:num>
  <w:num w:numId="9">
    <w:abstractNumId w:val="2"/>
  </w:num>
  <w:num w:numId="10">
    <w:abstractNumId w:val="17"/>
  </w:num>
  <w:num w:numId="11">
    <w:abstractNumId w:val="6"/>
  </w:num>
  <w:num w:numId="12">
    <w:abstractNumId w:val="16"/>
  </w:num>
  <w:num w:numId="13">
    <w:abstractNumId w:val="25"/>
  </w:num>
  <w:num w:numId="14">
    <w:abstractNumId w:val="9"/>
  </w:num>
  <w:num w:numId="15">
    <w:abstractNumId w:val="22"/>
  </w:num>
  <w:num w:numId="16">
    <w:abstractNumId w:val="7"/>
  </w:num>
  <w:num w:numId="17">
    <w:abstractNumId w:val="11"/>
  </w:num>
  <w:num w:numId="18">
    <w:abstractNumId w:val="15"/>
  </w:num>
  <w:num w:numId="19">
    <w:abstractNumId w:val="1"/>
  </w:num>
  <w:num w:numId="20">
    <w:abstractNumId w:val="4"/>
  </w:num>
  <w:num w:numId="21">
    <w:abstractNumId w:val="20"/>
  </w:num>
  <w:num w:numId="22">
    <w:abstractNumId w:val="10"/>
  </w:num>
  <w:num w:numId="23">
    <w:abstractNumId w:val="1"/>
  </w:num>
  <w:num w:numId="24">
    <w:abstractNumId w:val="22"/>
  </w:num>
  <w:num w:numId="25">
    <w:abstractNumId w:val="16"/>
  </w:num>
  <w:num w:numId="26">
    <w:abstractNumId w:val="16"/>
  </w:num>
  <w:num w:numId="27">
    <w:abstractNumId w:val="10"/>
  </w:num>
  <w:num w:numId="28">
    <w:abstractNumId w:val="1"/>
  </w:num>
  <w:num w:numId="29">
    <w:abstractNumId w:val="22"/>
  </w:num>
  <w:num w:numId="30">
    <w:abstractNumId w:val="16"/>
  </w:num>
  <w:num w:numId="31">
    <w:abstractNumId w:val="16"/>
  </w:num>
  <w:num w:numId="32">
    <w:abstractNumId w:val="10"/>
  </w:num>
  <w:num w:numId="33">
    <w:abstractNumId w:val="8"/>
  </w:num>
  <w:num w:numId="34">
    <w:abstractNumId w:val="1"/>
  </w:num>
  <w:num w:numId="35">
    <w:abstractNumId w:val="22"/>
  </w:num>
  <w:num w:numId="36">
    <w:abstractNumId w:val="16"/>
  </w:num>
  <w:num w:numId="37">
    <w:abstractNumId w:val="16"/>
  </w:num>
  <w:num w:numId="38">
    <w:abstractNumId w:val="10"/>
  </w:num>
  <w:num w:numId="39">
    <w:abstractNumId w:val="8"/>
  </w:num>
  <w:num w:numId="40">
    <w:abstractNumId w:val="26"/>
  </w:num>
  <w:num w:numId="41">
    <w:abstractNumId w:val="14"/>
  </w:num>
  <w:num w:numId="42">
    <w:abstractNumId w:val="24"/>
  </w:num>
  <w:num w:numId="43">
    <w:abstractNumId w:val="3"/>
  </w:num>
  <w:num w:numId="44">
    <w:abstractNumId w:val="12"/>
  </w:num>
  <w:num w:numId="45">
    <w:abstractNumId w:val="5"/>
  </w:num>
  <w:num w:numId="46">
    <w:abstractNumId w:val="28"/>
  </w:num>
  <w:num w:numId="47">
    <w:abstractNumId w:val="2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6821"/>
    <w:rsid w:val="00100563"/>
    <w:rsid w:val="001440CA"/>
    <w:rsid w:val="00186118"/>
    <w:rsid w:val="001A6F71"/>
    <w:rsid w:val="001E1B75"/>
    <w:rsid w:val="001F1D0D"/>
    <w:rsid w:val="001F6BBE"/>
    <w:rsid w:val="00210436"/>
    <w:rsid w:val="00215471"/>
    <w:rsid w:val="00215956"/>
    <w:rsid w:val="002208BE"/>
    <w:rsid w:val="00225BA0"/>
    <w:rsid w:val="002407B2"/>
    <w:rsid w:val="00281A35"/>
    <w:rsid w:val="00281F50"/>
    <w:rsid w:val="00286108"/>
    <w:rsid w:val="00295F9F"/>
    <w:rsid w:val="002A07C0"/>
    <w:rsid w:val="002D265B"/>
    <w:rsid w:val="002D379D"/>
    <w:rsid w:val="002D47A6"/>
    <w:rsid w:val="003030F2"/>
    <w:rsid w:val="00304EF2"/>
    <w:rsid w:val="003076AC"/>
    <w:rsid w:val="00334511"/>
    <w:rsid w:val="00341F8B"/>
    <w:rsid w:val="003434F6"/>
    <w:rsid w:val="00361327"/>
    <w:rsid w:val="00367FB2"/>
    <w:rsid w:val="00397617"/>
    <w:rsid w:val="003B3062"/>
    <w:rsid w:val="003C416B"/>
    <w:rsid w:val="004668BC"/>
    <w:rsid w:val="00480C44"/>
    <w:rsid w:val="00480FD7"/>
    <w:rsid w:val="004B4B05"/>
    <w:rsid w:val="004E338C"/>
    <w:rsid w:val="004F35B3"/>
    <w:rsid w:val="00504555"/>
    <w:rsid w:val="005202C7"/>
    <w:rsid w:val="00530B64"/>
    <w:rsid w:val="005402DE"/>
    <w:rsid w:val="00541AE4"/>
    <w:rsid w:val="005764DE"/>
    <w:rsid w:val="00595476"/>
    <w:rsid w:val="005B53AD"/>
    <w:rsid w:val="005C7E88"/>
    <w:rsid w:val="005D1A4E"/>
    <w:rsid w:val="00642245"/>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C6100"/>
    <w:rsid w:val="007D0956"/>
    <w:rsid w:val="0080474D"/>
    <w:rsid w:val="00804F4F"/>
    <w:rsid w:val="008379E7"/>
    <w:rsid w:val="00846B99"/>
    <w:rsid w:val="00856F98"/>
    <w:rsid w:val="00861F4B"/>
    <w:rsid w:val="00863F90"/>
    <w:rsid w:val="008653DD"/>
    <w:rsid w:val="008750C7"/>
    <w:rsid w:val="008C2BB3"/>
    <w:rsid w:val="008E5BD7"/>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1AD8"/>
    <w:rsid w:val="00AA5AC4"/>
    <w:rsid w:val="00AB62F9"/>
    <w:rsid w:val="00AC269B"/>
    <w:rsid w:val="00AC44EA"/>
    <w:rsid w:val="00AE67E3"/>
    <w:rsid w:val="00AE79D8"/>
    <w:rsid w:val="00B24CBA"/>
    <w:rsid w:val="00B301C2"/>
    <w:rsid w:val="00B40474"/>
    <w:rsid w:val="00B633ED"/>
    <w:rsid w:val="00B7767B"/>
    <w:rsid w:val="00BC097D"/>
    <w:rsid w:val="00BC353F"/>
    <w:rsid w:val="00BD4A5B"/>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7117"/>
    <w:rsid w:val="00D7685E"/>
    <w:rsid w:val="00DD21D5"/>
    <w:rsid w:val="00DD36C0"/>
    <w:rsid w:val="00DD636E"/>
    <w:rsid w:val="00DE4840"/>
    <w:rsid w:val="00DE67EB"/>
    <w:rsid w:val="00DF3B99"/>
    <w:rsid w:val="00DF6F06"/>
    <w:rsid w:val="00E06650"/>
    <w:rsid w:val="00E26D32"/>
    <w:rsid w:val="00E42AE6"/>
    <w:rsid w:val="00E45779"/>
    <w:rsid w:val="00E639B8"/>
    <w:rsid w:val="00E86FE9"/>
    <w:rsid w:val="00E95EA2"/>
    <w:rsid w:val="00EC1887"/>
    <w:rsid w:val="00EF6D6A"/>
    <w:rsid w:val="00F209C7"/>
    <w:rsid w:val="00F373A4"/>
    <w:rsid w:val="00F40A03"/>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E27178"/>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530B64"/>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076AC"/>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530B64"/>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3076AC"/>
    <w:rPr>
      <w:color w:val="0000FF" w:themeColor="hyperlink"/>
      <w:u w:val="single"/>
    </w:rPr>
  </w:style>
  <w:style w:type="character" w:styleId="FollowedHyperlink">
    <w:name w:val="FollowedHyperlink"/>
    <w:basedOn w:val="DefaultParagraphFont"/>
    <w:uiPriority w:val="99"/>
    <w:semiHidden/>
    <w:unhideWhenUsed/>
    <w:rsid w:val="00343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thsisfun.com/data/probability-events-mutually-exclusive.html" TargetMode="External"/><Relationship Id="rId18" Type="http://schemas.openxmlformats.org/officeDocument/2006/relationships/hyperlink" Target="http://ed.ted.com/lessons/the-last-banana-a-thought-experiment-in-probability-leonardo-barichell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arsonplaces.com.au/Portals/0/studentlounge/NewSignMaths9_3e/4_pack.html" TargetMode="External"/><Relationship Id="rId17" Type="http://schemas.openxmlformats.org/officeDocument/2006/relationships/hyperlink" Target="https://www.youtube.com/watch?v=U7f8j3mVMbc" TargetMode="External"/><Relationship Id="rId2" Type="http://schemas.openxmlformats.org/officeDocument/2006/relationships/numbering" Target="numbering.xml"/><Relationship Id="rId16" Type="http://schemas.openxmlformats.org/officeDocument/2006/relationships/hyperlink" Target="http://www.numberphile.com/videos/23birthda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mt.plymouth.ac.uk/resources/help/h10prob2.pd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plash.abc.net.au/res/i/L3661/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si.org.au/ESA_Senior_Years/SeniorTopic4/4_md/SeniorTopic4a.html"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2A31-7764-4541-AAC8-2CEE7C70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Probability</vt:lpstr>
    </vt:vector>
  </TitlesOfParts>
  <Company>NSW, Department of Education and Training</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dc:title>
  <dc:creator/>
  <cp:lastModifiedBy>Jensen, Amy</cp:lastModifiedBy>
  <cp:revision>7</cp:revision>
  <cp:lastPrinted>2016-07-07T23:41:00Z</cp:lastPrinted>
  <dcterms:created xsi:type="dcterms:W3CDTF">2017-10-06T04:06:00Z</dcterms:created>
  <dcterms:modified xsi:type="dcterms:W3CDTF">2017-10-09T01:13:00Z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