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8C" w:rsidRPr="00AC7242" w:rsidRDefault="0036758C" w:rsidP="00AC7242">
      <w:pPr>
        <w:pStyle w:val="Heading1"/>
        <w:spacing w:before="0"/>
        <w:ind w:right="-284"/>
        <w:rPr>
          <w:rFonts w:asciiTheme="minorHAnsi" w:hAnsiTheme="minorHAnsi"/>
          <w:b w:val="0"/>
          <w:sz w:val="33"/>
          <w:szCs w:val="33"/>
        </w:rPr>
      </w:pPr>
      <w:bookmarkStart w:id="0" w:name="_GoBack"/>
      <w:r w:rsidRPr="00AC7242">
        <w:rPr>
          <w:rFonts w:asciiTheme="minorHAnsi" w:hAnsiTheme="minorHAnsi"/>
          <w:b w:val="0"/>
          <w:sz w:val="33"/>
          <w:szCs w:val="33"/>
        </w:rPr>
        <w:t>Activity 4</w:t>
      </w:r>
      <w:r w:rsidR="00440562" w:rsidRPr="00AC7242">
        <w:rPr>
          <w:rFonts w:asciiTheme="minorHAnsi" w:hAnsiTheme="minorHAnsi"/>
          <w:b w:val="0"/>
          <w:sz w:val="33"/>
          <w:szCs w:val="33"/>
        </w:rPr>
        <w:t>:</w:t>
      </w:r>
      <w:r w:rsidR="007C72FB" w:rsidRPr="00AC7242">
        <w:rPr>
          <w:rFonts w:asciiTheme="minorHAnsi" w:hAnsiTheme="minorHAnsi"/>
          <w:b w:val="0"/>
          <w:sz w:val="33"/>
          <w:szCs w:val="33"/>
        </w:rPr>
        <w:t xml:space="preserve"> Linking Quality Teaching model with differentiation elem</w:t>
      </w:r>
      <w:bookmarkEnd w:id="0"/>
      <w:r w:rsidR="007C72FB" w:rsidRPr="00AC7242">
        <w:rPr>
          <w:rFonts w:asciiTheme="minorHAnsi" w:hAnsiTheme="minorHAnsi"/>
          <w:b w:val="0"/>
          <w:sz w:val="33"/>
          <w:szCs w:val="33"/>
        </w:rPr>
        <w:t>ents</w:t>
      </w:r>
    </w:p>
    <w:p w:rsidR="0036758C" w:rsidRDefault="0036758C" w:rsidP="00AC7242">
      <w:pPr>
        <w:spacing w:after="0" w:line="264" w:lineRule="auto"/>
      </w:pPr>
      <w:r>
        <w:t xml:space="preserve">In your group, discuss how the Quality Teaching model relates to Tomlinson’s four elements of differentiation. Use this table to capture your thinking, giving your reasons in the Comment section. </w:t>
      </w:r>
      <w:r w:rsidR="00485C2B">
        <w:br/>
      </w:r>
      <w:r>
        <w:t xml:space="preserve">Quality </w:t>
      </w:r>
      <w:proofErr w:type="gramStart"/>
      <w:r>
        <w:t>Teaching</w:t>
      </w:r>
      <w:proofErr w:type="gramEnd"/>
      <w:r>
        <w:t xml:space="preserve"> eleme</w:t>
      </w:r>
      <w:r w:rsidR="007C72FB">
        <w:t>nts may be used more than once.</w:t>
      </w:r>
    </w:p>
    <w:p w:rsidR="0036758C" w:rsidRPr="00AC7242" w:rsidRDefault="0036758C" w:rsidP="00AC7242">
      <w:pPr>
        <w:pStyle w:val="Heading2"/>
        <w:spacing w:before="120"/>
        <w:jc w:val="center"/>
        <w:rPr>
          <w:b/>
          <w:color w:val="2E527E"/>
        </w:rPr>
      </w:pPr>
      <w:r w:rsidRPr="00AC7242">
        <w:rPr>
          <w:b/>
          <w:color w:val="2E527E"/>
        </w:rPr>
        <w:t>NSW Quality Teaching model</w:t>
      </w:r>
    </w:p>
    <w:p w:rsidR="0036758C" w:rsidRPr="00AC7242" w:rsidRDefault="0036758C" w:rsidP="00AC7242">
      <w:pPr>
        <w:pStyle w:val="Heading2"/>
        <w:spacing w:before="120"/>
        <w:rPr>
          <w:b/>
          <w:color w:val="2E527E"/>
        </w:rPr>
        <w:sectPr w:rsidR="0036758C" w:rsidRPr="00AC7242" w:rsidSect="00AC7242">
          <w:headerReference w:type="default" r:id="rId7"/>
          <w:pgSz w:w="11906" w:h="16838"/>
          <w:pgMar w:top="720" w:right="1134" w:bottom="720" w:left="1134" w:header="709" w:footer="709" w:gutter="0"/>
          <w:cols w:space="708"/>
          <w:docGrid w:linePitch="360"/>
        </w:sectPr>
      </w:pPr>
    </w:p>
    <w:p w:rsidR="0036758C" w:rsidRPr="00AC7242" w:rsidRDefault="0036758C" w:rsidP="00AC7242">
      <w:pPr>
        <w:pStyle w:val="Heading3"/>
      </w:pPr>
      <w:r w:rsidRPr="00AC7242">
        <w:lastRenderedPageBreak/>
        <w:t xml:space="preserve">Intellectual Quality </w:t>
      </w:r>
    </w:p>
    <w:p w:rsidR="0036758C" w:rsidRPr="001E6CA4" w:rsidRDefault="0036758C" w:rsidP="0036758C">
      <w:pPr>
        <w:spacing w:after="0"/>
        <w:rPr>
          <w:sz w:val="18"/>
        </w:rPr>
      </w:pPr>
      <w:r w:rsidRPr="001E6CA4">
        <w:rPr>
          <w:sz w:val="18"/>
        </w:rPr>
        <w:t>Deep knowledge</w:t>
      </w:r>
    </w:p>
    <w:p w:rsidR="0036758C" w:rsidRPr="001E6CA4" w:rsidRDefault="0036758C" w:rsidP="0036758C">
      <w:pPr>
        <w:spacing w:after="0"/>
        <w:rPr>
          <w:sz w:val="18"/>
        </w:rPr>
      </w:pPr>
      <w:r w:rsidRPr="001E6CA4">
        <w:rPr>
          <w:sz w:val="18"/>
        </w:rPr>
        <w:t xml:space="preserve">Deep understanding </w:t>
      </w:r>
    </w:p>
    <w:p w:rsidR="0036758C" w:rsidRPr="001E6CA4" w:rsidRDefault="0036758C" w:rsidP="0036758C">
      <w:pPr>
        <w:spacing w:after="0"/>
        <w:rPr>
          <w:sz w:val="18"/>
        </w:rPr>
      </w:pPr>
      <w:r w:rsidRPr="001E6CA4">
        <w:rPr>
          <w:sz w:val="18"/>
        </w:rPr>
        <w:t xml:space="preserve">Problematic knowledge </w:t>
      </w:r>
    </w:p>
    <w:p w:rsidR="0036758C" w:rsidRPr="001E6CA4" w:rsidRDefault="0036758C" w:rsidP="0036758C">
      <w:pPr>
        <w:spacing w:after="0"/>
        <w:rPr>
          <w:sz w:val="18"/>
        </w:rPr>
      </w:pPr>
      <w:r w:rsidRPr="001E6CA4">
        <w:rPr>
          <w:sz w:val="18"/>
        </w:rPr>
        <w:t>Higher-order thinking</w:t>
      </w:r>
    </w:p>
    <w:p w:rsidR="0036758C" w:rsidRPr="001E6CA4" w:rsidRDefault="0036758C" w:rsidP="0036758C">
      <w:pPr>
        <w:spacing w:after="0"/>
        <w:rPr>
          <w:sz w:val="18"/>
        </w:rPr>
      </w:pPr>
      <w:r w:rsidRPr="001E6CA4">
        <w:rPr>
          <w:sz w:val="18"/>
        </w:rPr>
        <w:t xml:space="preserve">Metalanguage </w:t>
      </w:r>
    </w:p>
    <w:p w:rsidR="0036758C" w:rsidRDefault="0036758C" w:rsidP="0036758C">
      <w:r>
        <w:rPr>
          <w:sz w:val="18"/>
        </w:rPr>
        <w:t>Substantive c</w:t>
      </w:r>
      <w:r w:rsidRPr="001E6CA4">
        <w:rPr>
          <w:sz w:val="18"/>
        </w:rPr>
        <w:t>ommunication</w:t>
      </w:r>
    </w:p>
    <w:p w:rsidR="0036758C" w:rsidRPr="001E6CA4" w:rsidRDefault="0036758C" w:rsidP="00AC7242">
      <w:pPr>
        <w:pStyle w:val="Heading3"/>
      </w:pPr>
      <w:r w:rsidRPr="001E6CA4">
        <w:lastRenderedPageBreak/>
        <w:t xml:space="preserve">Quality Learning Environment </w:t>
      </w:r>
    </w:p>
    <w:p w:rsidR="0036758C" w:rsidRPr="001E6CA4" w:rsidRDefault="0036758C" w:rsidP="0036758C">
      <w:pPr>
        <w:spacing w:after="0"/>
        <w:rPr>
          <w:sz w:val="18"/>
        </w:rPr>
      </w:pPr>
      <w:r w:rsidRPr="001E6CA4">
        <w:rPr>
          <w:sz w:val="18"/>
        </w:rPr>
        <w:t xml:space="preserve">Explicit quality criteria </w:t>
      </w:r>
    </w:p>
    <w:p w:rsidR="0036758C" w:rsidRPr="001E6CA4" w:rsidRDefault="0036758C" w:rsidP="0036758C">
      <w:pPr>
        <w:spacing w:after="0"/>
        <w:rPr>
          <w:sz w:val="18"/>
        </w:rPr>
      </w:pPr>
      <w:r w:rsidRPr="001E6CA4">
        <w:rPr>
          <w:sz w:val="18"/>
        </w:rPr>
        <w:t xml:space="preserve">Engagement </w:t>
      </w:r>
    </w:p>
    <w:p w:rsidR="0036758C" w:rsidRPr="001E6CA4" w:rsidRDefault="0036758C" w:rsidP="0036758C">
      <w:pPr>
        <w:spacing w:after="0"/>
        <w:rPr>
          <w:sz w:val="18"/>
        </w:rPr>
      </w:pPr>
      <w:r w:rsidRPr="001E6CA4">
        <w:rPr>
          <w:sz w:val="18"/>
        </w:rPr>
        <w:t>High expectations</w:t>
      </w:r>
    </w:p>
    <w:p w:rsidR="0036758C" w:rsidRPr="001E6CA4" w:rsidRDefault="0036758C" w:rsidP="0036758C">
      <w:pPr>
        <w:spacing w:after="0"/>
        <w:rPr>
          <w:sz w:val="18"/>
        </w:rPr>
      </w:pPr>
      <w:r w:rsidRPr="001E6CA4">
        <w:rPr>
          <w:sz w:val="18"/>
        </w:rPr>
        <w:t xml:space="preserve">Social support </w:t>
      </w:r>
    </w:p>
    <w:p w:rsidR="0036758C" w:rsidRPr="001E6CA4" w:rsidRDefault="0036758C" w:rsidP="0036758C">
      <w:pPr>
        <w:spacing w:after="0"/>
        <w:rPr>
          <w:sz w:val="18"/>
        </w:rPr>
      </w:pPr>
      <w:r w:rsidRPr="001E6CA4">
        <w:rPr>
          <w:sz w:val="18"/>
        </w:rPr>
        <w:t>Students’ self-regulation</w:t>
      </w:r>
    </w:p>
    <w:p w:rsidR="0036758C" w:rsidRDefault="0036758C" w:rsidP="0036758C">
      <w:pPr>
        <w:rPr>
          <w:sz w:val="18"/>
        </w:rPr>
      </w:pPr>
      <w:r w:rsidRPr="001E6CA4">
        <w:rPr>
          <w:sz w:val="18"/>
        </w:rPr>
        <w:t>Student direction</w:t>
      </w:r>
    </w:p>
    <w:p w:rsidR="0036758C" w:rsidRPr="001E6CA4" w:rsidRDefault="0036758C" w:rsidP="00AC7242">
      <w:pPr>
        <w:pStyle w:val="Heading3"/>
      </w:pPr>
      <w:r w:rsidRPr="001E6CA4">
        <w:lastRenderedPageBreak/>
        <w:t xml:space="preserve">Significance </w:t>
      </w:r>
    </w:p>
    <w:p w:rsidR="0036758C" w:rsidRPr="001E6CA4" w:rsidRDefault="0036758C" w:rsidP="0036758C">
      <w:pPr>
        <w:spacing w:after="0"/>
        <w:rPr>
          <w:sz w:val="18"/>
        </w:rPr>
      </w:pPr>
      <w:r w:rsidRPr="001E6CA4">
        <w:rPr>
          <w:sz w:val="18"/>
        </w:rPr>
        <w:t>Background knowledge</w:t>
      </w:r>
    </w:p>
    <w:p w:rsidR="0036758C" w:rsidRPr="001E6CA4" w:rsidRDefault="0036758C" w:rsidP="0036758C">
      <w:pPr>
        <w:spacing w:after="0"/>
        <w:rPr>
          <w:sz w:val="18"/>
        </w:rPr>
      </w:pPr>
      <w:r w:rsidRPr="001E6CA4">
        <w:rPr>
          <w:sz w:val="18"/>
        </w:rPr>
        <w:t xml:space="preserve">Cultural knowledge </w:t>
      </w:r>
    </w:p>
    <w:p w:rsidR="0036758C" w:rsidRPr="001E6CA4" w:rsidRDefault="0036758C" w:rsidP="0036758C">
      <w:pPr>
        <w:spacing w:after="0"/>
        <w:rPr>
          <w:sz w:val="18"/>
        </w:rPr>
      </w:pPr>
      <w:r w:rsidRPr="001E6CA4">
        <w:rPr>
          <w:sz w:val="18"/>
        </w:rPr>
        <w:t>Knowledge integration</w:t>
      </w:r>
    </w:p>
    <w:p w:rsidR="0036758C" w:rsidRPr="001E6CA4" w:rsidRDefault="0036758C" w:rsidP="0036758C">
      <w:pPr>
        <w:spacing w:after="0"/>
        <w:rPr>
          <w:sz w:val="18"/>
        </w:rPr>
      </w:pPr>
      <w:r w:rsidRPr="001E6CA4">
        <w:rPr>
          <w:sz w:val="18"/>
        </w:rPr>
        <w:t xml:space="preserve">Inclusivity </w:t>
      </w:r>
    </w:p>
    <w:p w:rsidR="0036758C" w:rsidRPr="001E6CA4" w:rsidRDefault="0036758C" w:rsidP="0036758C">
      <w:pPr>
        <w:spacing w:after="0"/>
        <w:rPr>
          <w:sz w:val="18"/>
        </w:rPr>
      </w:pPr>
      <w:r w:rsidRPr="001E6CA4">
        <w:rPr>
          <w:sz w:val="18"/>
        </w:rPr>
        <w:t xml:space="preserve">Connectedness </w:t>
      </w:r>
    </w:p>
    <w:p w:rsidR="00AC7242" w:rsidRDefault="0036758C" w:rsidP="0036758C">
      <w:pPr>
        <w:rPr>
          <w:sz w:val="18"/>
        </w:rPr>
        <w:sectPr w:rsidR="00AC7242" w:rsidSect="00AC7242">
          <w:type w:val="continuous"/>
          <w:pgSz w:w="11906" w:h="16838"/>
          <w:pgMar w:top="720" w:right="1134" w:bottom="720" w:left="1134" w:header="709" w:footer="709" w:gutter="0"/>
          <w:cols w:num="3" w:space="708"/>
          <w:docGrid w:linePitch="360"/>
        </w:sectPr>
      </w:pPr>
      <w:r>
        <w:rPr>
          <w:sz w:val="18"/>
        </w:rPr>
        <w:t>Narrativ</w:t>
      </w:r>
      <w:r w:rsidR="00AC7242">
        <w:rPr>
          <w:sz w:val="18"/>
        </w:rPr>
        <w:t>e</w:t>
      </w:r>
    </w:p>
    <w:tbl>
      <w:tblPr>
        <w:tblStyle w:val="TableGrid"/>
        <w:tblW w:w="0" w:type="auto"/>
        <w:tblInd w:w="108" w:type="dxa"/>
        <w:tblLook w:val="04A0" w:firstRow="1" w:lastRow="0" w:firstColumn="1" w:lastColumn="0" w:noHBand="0" w:noVBand="1"/>
        <w:tblDescription w:val="Table with column headings Quality teaching element and Comment split into four sections Content, Product, Process and Learning environment. Participants insert the elements of the Quality Teaching model into the table where they fit."/>
      </w:tblPr>
      <w:tblGrid>
        <w:gridCol w:w="3250"/>
        <w:gridCol w:w="6496"/>
      </w:tblGrid>
      <w:tr w:rsidR="0036758C" w:rsidTr="00AC7242">
        <w:trPr>
          <w:tblHeader/>
        </w:trPr>
        <w:tc>
          <w:tcPr>
            <w:tcW w:w="10348" w:type="dxa"/>
            <w:gridSpan w:val="2"/>
            <w:shd w:val="clear" w:color="auto" w:fill="D9D9D9" w:themeFill="background1" w:themeFillShade="D9"/>
          </w:tcPr>
          <w:p w:rsidR="0036758C" w:rsidRPr="000C17CC" w:rsidRDefault="0036758C" w:rsidP="00B8114F">
            <w:pPr>
              <w:jc w:val="center"/>
              <w:rPr>
                <w:b/>
              </w:rPr>
            </w:pPr>
            <w:r w:rsidRPr="005C2D48">
              <w:rPr>
                <w:b/>
                <w:sz w:val="24"/>
              </w:rPr>
              <w:lastRenderedPageBreak/>
              <w:t>Content</w:t>
            </w:r>
          </w:p>
        </w:tc>
      </w:tr>
      <w:tr w:rsidR="0036758C" w:rsidRPr="00536AD9" w:rsidTr="00AC7242">
        <w:tc>
          <w:tcPr>
            <w:tcW w:w="3428" w:type="dxa"/>
          </w:tcPr>
          <w:p w:rsidR="0036758C" w:rsidRPr="00536AD9" w:rsidRDefault="0036758C" w:rsidP="00B8114F">
            <w:pPr>
              <w:rPr>
                <w:b/>
              </w:rPr>
            </w:pPr>
            <w:r w:rsidRPr="00536AD9">
              <w:rPr>
                <w:b/>
              </w:rPr>
              <w:t xml:space="preserve">Quality teaching element </w:t>
            </w:r>
          </w:p>
        </w:tc>
        <w:tc>
          <w:tcPr>
            <w:tcW w:w="6920" w:type="dxa"/>
          </w:tcPr>
          <w:p w:rsidR="0036758C" w:rsidRPr="00536AD9" w:rsidRDefault="0036758C" w:rsidP="00B8114F">
            <w:pPr>
              <w:rPr>
                <w:b/>
              </w:rPr>
            </w:pPr>
            <w:r w:rsidRPr="00536AD9">
              <w:rPr>
                <w:b/>
              </w:rPr>
              <w:t xml:space="preserve">Comment </w:t>
            </w:r>
          </w:p>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RPr="005C2D48" w:rsidTr="00AC7242">
        <w:tc>
          <w:tcPr>
            <w:tcW w:w="10348" w:type="dxa"/>
            <w:gridSpan w:val="2"/>
            <w:shd w:val="clear" w:color="auto" w:fill="D9D9D9" w:themeFill="background1" w:themeFillShade="D9"/>
          </w:tcPr>
          <w:p w:rsidR="0036758C" w:rsidRPr="000C17CC" w:rsidRDefault="0036758C" w:rsidP="00B8114F">
            <w:pPr>
              <w:jc w:val="center"/>
              <w:rPr>
                <w:b/>
              </w:rPr>
            </w:pPr>
            <w:r w:rsidRPr="005C2D48">
              <w:rPr>
                <w:b/>
                <w:sz w:val="24"/>
              </w:rPr>
              <w:t>Product</w:t>
            </w:r>
          </w:p>
        </w:tc>
      </w:tr>
      <w:tr w:rsidR="0036758C" w:rsidRPr="00536AD9" w:rsidTr="00AC7242">
        <w:tc>
          <w:tcPr>
            <w:tcW w:w="3428" w:type="dxa"/>
          </w:tcPr>
          <w:p w:rsidR="0036758C" w:rsidRPr="00536AD9" w:rsidRDefault="0036758C" w:rsidP="00B8114F">
            <w:pPr>
              <w:rPr>
                <w:b/>
              </w:rPr>
            </w:pPr>
          </w:p>
        </w:tc>
        <w:tc>
          <w:tcPr>
            <w:tcW w:w="6920" w:type="dxa"/>
          </w:tcPr>
          <w:p w:rsidR="0036758C" w:rsidRPr="00536AD9" w:rsidRDefault="0036758C" w:rsidP="00B8114F">
            <w:pPr>
              <w:rPr>
                <w:b/>
              </w:rPr>
            </w:pPr>
          </w:p>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RPr="005C2D48" w:rsidTr="00AC7242">
        <w:tc>
          <w:tcPr>
            <w:tcW w:w="10348" w:type="dxa"/>
            <w:gridSpan w:val="2"/>
            <w:shd w:val="clear" w:color="auto" w:fill="D9D9D9" w:themeFill="background1" w:themeFillShade="D9"/>
          </w:tcPr>
          <w:p w:rsidR="0036758C" w:rsidRPr="000C17CC" w:rsidRDefault="0036758C" w:rsidP="00B8114F">
            <w:pPr>
              <w:jc w:val="center"/>
              <w:rPr>
                <w:b/>
              </w:rPr>
            </w:pPr>
            <w:r w:rsidRPr="005C2D48">
              <w:rPr>
                <w:b/>
                <w:sz w:val="24"/>
              </w:rPr>
              <w:t>Process</w:t>
            </w:r>
          </w:p>
        </w:tc>
      </w:tr>
      <w:tr w:rsidR="0036758C" w:rsidRPr="00536AD9" w:rsidTr="00AC7242">
        <w:tc>
          <w:tcPr>
            <w:tcW w:w="3428" w:type="dxa"/>
          </w:tcPr>
          <w:p w:rsidR="0036758C" w:rsidRPr="00536AD9" w:rsidRDefault="0036758C" w:rsidP="00B8114F">
            <w:pPr>
              <w:rPr>
                <w:b/>
              </w:rPr>
            </w:pPr>
          </w:p>
        </w:tc>
        <w:tc>
          <w:tcPr>
            <w:tcW w:w="6920" w:type="dxa"/>
          </w:tcPr>
          <w:p w:rsidR="0036758C" w:rsidRPr="00536AD9" w:rsidRDefault="0036758C" w:rsidP="00B8114F">
            <w:pPr>
              <w:rPr>
                <w:b/>
              </w:rPr>
            </w:pPr>
          </w:p>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10348" w:type="dxa"/>
            <w:gridSpan w:val="2"/>
            <w:shd w:val="clear" w:color="auto" w:fill="D9D9D9" w:themeFill="background1" w:themeFillShade="D9"/>
          </w:tcPr>
          <w:p w:rsidR="0036758C" w:rsidRPr="000C17CC" w:rsidRDefault="0036758C" w:rsidP="00B8114F">
            <w:pPr>
              <w:jc w:val="center"/>
              <w:rPr>
                <w:b/>
              </w:rPr>
            </w:pPr>
            <w:r>
              <w:rPr>
                <w:b/>
              </w:rPr>
              <w:t xml:space="preserve">Learning </w:t>
            </w:r>
            <w:r w:rsidRPr="005C2D48">
              <w:rPr>
                <w:b/>
                <w:sz w:val="24"/>
              </w:rPr>
              <w:t>environment</w:t>
            </w:r>
          </w:p>
        </w:tc>
      </w:tr>
      <w:tr w:rsidR="0036758C" w:rsidRPr="00536AD9" w:rsidTr="00AC7242">
        <w:tc>
          <w:tcPr>
            <w:tcW w:w="3428" w:type="dxa"/>
          </w:tcPr>
          <w:p w:rsidR="0036758C" w:rsidRPr="00536AD9" w:rsidRDefault="0036758C" w:rsidP="00B8114F">
            <w:pPr>
              <w:rPr>
                <w:b/>
              </w:rPr>
            </w:pPr>
          </w:p>
        </w:tc>
        <w:tc>
          <w:tcPr>
            <w:tcW w:w="6920" w:type="dxa"/>
          </w:tcPr>
          <w:p w:rsidR="0036758C" w:rsidRPr="00536AD9" w:rsidRDefault="0036758C" w:rsidP="00B8114F">
            <w:pPr>
              <w:rPr>
                <w:b/>
              </w:rPr>
            </w:pPr>
          </w:p>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r w:rsidR="0036758C" w:rsidTr="00AC7242">
        <w:tc>
          <w:tcPr>
            <w:tcW w:w="3428" w:type="dxa"/>
          </w:tcPr>
          <w:p w:rsidR="0036758C" w:rsidRDefault="0036758C" w:rsidP="00B8114F"/>
        </w:tc>
        <w:tc>
          <w:tcPr>
            <w:tcW w:w="6920" w:type="dxa"/>
          </w:tcPr>
          <w:p w:rsidR="0036758C" w:rsidRDefault="0036758C" w:rsidP="00B8114F"/>
        </w:tc>
      </w:tr>
    </w:tbl>
    <w:p w:rsidR="00175DB6" w:rsidRPr="00AC7242" w:rsidRDefault="004B3A74" w:rsidP="00AC7242">
      <w:pPr>
        <w:spacing w:after="0"/>
        <w:rPr>
          <w:sz w:val="6"/>
          <w:szCs w:val="6"/>
        </w:rPr>
      </w:pPr>
    </w:p>
    <w:sectPr w:rsidR="00175DB6" w:rsidRPr="00AC7242" w:rsidSect="00485C2B">
      <w:type w:val="continuous"/>
      <w:pgSz w:w="11906" w:h="16838" w:code="9"/>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42" w:rsidRDefault="00AC7242" w:rsidP="00AC7242">
      <w:pPr>
        <w:spacing w:after="0" w:line="240" w:lineRule="auto"/>
      </w:pPr>
      <w:r>
        <w:separator/>
      </w:r>
    </w:p>
  </w:endnote>
  <w:endnote w:type="continuationSeparator" w:id="0">
    <w:p w:rsidR="00AC7242" w:rsidRDefault="00AC7242" w:rsidP="00AC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42" w:rsidRDefault="00AC7242" w:rsidP="00AC7242">
      <w:pPr>
        <w:spacing w:after="0" w:line="240" w:lineRule="auto"/>
      </w:pPr>
      <w:r>
        <w:separator/>
      </w:r>
    </w:p>
  </w:footnote>
  <w:footnote w:type="continuationSeparator" w:id="0">
    <w:p w:rsidR="00AC7242" w:rsidRDefault="00AC7242" w:rsidP="00AC7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42" w:rsidRPr="006B2890" w:rsidRDefault="00AC7242" w:rsidP="00AC7242">
    <w:pPr>
      <w:pStyle w:val="Footer-BodyTextLeft"/>
      <w:pBdr>
        <w:bottom w:val="single" w:sz="4" w:space="1" w:color="376295"/>
      </w:pBdr>
      <w:tabs>
        <w:tab w:val="right" w:pos="9639"/>
      </w:tabs>
      <w:spacing w:after="40"/>
    </w:pPr>
    <w:r w:rsidRPr="00700E5F">
      <w:rPr>
        <w:noProof/>
        <w:sz w:val="18"/>
        <w:szCs w:val="18"/>
        <w:lang w:eastAsia="en-AU"/>
      </w:rPr>
      <w:drawing>
        <wp:inline distT="0" distB="0" distL="0" distR="0" wp14:anchorId="6E01BA03" wp14:editId="5349FA80">
          <wp:extent cx="1574800" cy="472567"/>
          <wp:effectExtent l="0" t="0" r="6350" b="3810"/>
          <wp:docPr id="6" name="Picture 6" descr="NSW Department of Education and Communities logo" title="NSW Department of Education and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NSW Department of Education and Communities logo" title="NSW Department of Education and Communiti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72567"/>
                  </a:xfrm>
                  <a:prstGeom prst="rect">
                    <a:avLst/>
                  </a:prstGeom>
                  <a:noFill/>
                  <a:ln>
                    <a:noFill/>
                  </a:ln>
                </pic:spPr>
              </pic:pic>
            </a:graphicData>
          </a:graphic>
        </wp:inline>
      </w:drawing>
    </w:r>
    <w:r w:rsidRPr="006B2890">
      <w:tab/>
    </w:r>
    <w:r w:rsidRPr="00A75124">
      <w:rPr>
        <w:rFonts w:ascii="Calibri" w:hAnsi="Calibri" w:cs="Arial"/>
        <w:i/>
        <w:sz w:val="18"/>
        <w:szCs w:val="18"/>
      </w:rPr>
      <w:t>Implementing new curriculum: Differentiated learning</w:t>
    </w:r>
  </w:p>
  <w:p w:rsidR="00AC7242" w:rsidRDefault="00AC7242" w:rsidP="00AC7242">
    <w:pPr>
      <w:pStyle w:val="Header"/>
      <w:tabs>
        <w:tab w:val="clear" w:pos="9026"/>
        <w:tab w:val="right" w:pos="963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8C"/>
    <w:rsid w:val="001160AA"/>
    <w:rsid w:val="001B54E0"/>
    <w:rsid w:val="0036758C"/>
    <w:rsid w:val="00440562"/>
    <w:rsid w:val="0045302D"/>
    <w:rsid w:val="00485C2B"/>
    <w:rsid w:val="004B3A74"/>
    <w:rsid w:val="007C72FB"/>
    <w:rsid w:val="00A75124"/>
    <w:rsid w:val="00AC7242"/>
    <w:rsid w:val="00B1021A"/>
    <w:rsid w:val="00D30E59"/>
    <w:rsid w:val="00EA2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8C"/>
  </w:style>
  <w:style w:type="paragraph" w:styleId="Heading1">
    <w:name w:val="heading 1"/>
    <w:basedOn w:val="Normal"/>
    <w:next w:val="Normal"/>
    <w:link w:val="Heading1Char"/>
    <w:uiPriority w:val="9"/>
    <w:qFormat/>
    <w:rsid w:val="00AC7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242"/>
    <w:pPr>
      <w:keepNext/>
      <w:keepLines/>
      <w:spacing w:before="200" w:after="0"/>
      <w:outlineLvl w:val="1"/>
    </w:pPr>
    <w:rPr>
      <w:rFonts w:eastAsiaTheme="majorEastAsia" w:cstheme="majorBidi"/>
      <w:bCs/>
      <w:color w:val="376295"/>
      <w:sz w:val="28"/>
      <w:szCs w:val="28"/>
    </w:rPr>
  </w:style>
  <w:style w:type="paragraph" w:styleId="Heading3">
    <w:name w:val="heading 3"/>
    <w:basedOn w:val="Normal"/>
    <w:next w:val="Normal"/>
    <w:link w:val="Heading3Char"/>
    <w:uiPriority w:val="9"/>
    <w:unhideWhenUsed/>
    <w:qFormat/>
    <w:rsid w:val="00AC7242"/>
    <w:pPr>
      <w:keepNext/>
      <w:keepLines/>
      <w:spacing w:after="0"/>
      <w:outlineLvl w:val="2"/>
    </w:pPr>
    <w:rPr>
      <w:rFonts w:eastAsiaTheme="majorEastAsia" w:cstheme="majorBidi"/>
      <w:b/>
      <w:bCs/>
      <w:color w:val="2542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72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242"/>
    <w:rPr>
      <w:rFonts w:eastAsiaTheme="majorEastAsia" w:cstheme="majorBidi"/>
      <w:bCs/>
      <w:color w:val="376295"/>
      <w:sz w:val="28"/>
      <w:szCs w:val="28"/>
    </w:rPr>
  </w:style>
  <w:style w:type="character" w:customStyle="1" w:styleId="Heading3Char">
    <w:name w:val="Heading 3 Char"/>
    <w:basedOn w:val="DefaultParagraphFont"/>
    <w:link w:val="Heading3"/>
    <w:uiPriority w:val="9"/>
    <w:rsid w:val="00AC7242"/>
    <w:rPr>
      <w:rFonts w:eastAsiaTheme="majorEastAsia" w:cstheme="majorBidi"/>
      <w:b/>
      <w:bCs/>
      <w:color w:val="254265"/>
    </w:rPr>
  </w:style>
  <w:style w:type="paragraph" w:styleId="Header">
    <w:name w:val="header"/>
    <w:basedOn w:val="Normal"/>
    <w:link w:val="HeaderChar"/>
    <w:uiPriority w:val="99"/>
    <w:unhideWhenUsed/>
    <w:rsid w:val="00AC7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242"/>
  </w:style>
  <w:style w:type="paragraph" w:styleId="Footer">
    <w:name w:val="footer"/>
    <w:basedOn w:val="Normal"/>
    <w:link w:val="FooterChar"/>
    <w:uiPriority w:val="99"/>
    <w:unhideWhenUsed/>
    <w:rsid w:val="00AC7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242"/>
  </w:style>
  <w:style w:type="paragraph" w:customStyle="1" w:styleId="Footer-BodyTextLeft">
    <w:name w:val="Footer - Body Text Left"/>
    <w:rsid w:val="00AC7242"/>
    <w:pPr>
      <w:spacing w:after="0" w:line="288" w:lineRule="auto"/>
    </w:pPr>
    <w:rPr>
      <w:rFonts w:ascii="Helvetica" w:eastAsia="Times New Roman" w:hAnsi="Helvetica" w:cs="Times New Roman"/>
      <w:color w:val="0083A9"/>
      <w:spacing w:val="-4"/>
      <w:kern w:val="22"/>
      <w:sz w:val="16"/>
      <w:szCs w:val="16"/>
    </w:rPr>
  </w:style>
  <w:style w:type="paragraph" w:styleId="BalloonText">
    <w:name w:val="Balloon Text"/>
    <w:basedOn w:val="Normal"/>
    <w:link w:val="BalloonTextChar"/>
    <w:uiPriority w:val="99"/>
    <w:semiHidden/>
    <w:unhideWhenUsed/>
    <w:rsid w:val="00AC7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8C"/>
  </w:style>
  <w:style w:type="paragraph" w:styleId="Heading1">
    <w:name w:val="heading 1"/>
    <w:basedOn w:val="Normal"/>
    <w:next w:val="Normal"/>
    <w:link w:val="Heading1Char"/>
    <w:uiPriority w:val="9"/>
    <w:qFormat/>
    <w:rsid w:val="00AC7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242"/>
    <w:pPr>
      <w:keepNext/>
      <w:keepLines/>
      <w:spacing w:before="200" w:after="0"/>
      <w:outlineLvl w:val="1"/>
    </w:pPr>
    <w:rPr>
      <w:rFonts w:eastAsiaTheme="majorEastAsia" w:cstheme="majorBidi"/>
      <w:bCs/>
      <w:color w:val="376295"/>
      <w:sz w:val="28"/>
      <w:szCs w:val="28"/>
    </w:rPr>
  </w:style>
  <w:style w:type="paragraph" w:styleId="Heading3">
    <w:name w:val="heading 3"/>
    <w:basedOn w:val="Normal"/>
    <w:next w:val="Normal"/>
    <w:link w:val="Heading3Char"/>
    <w:uiPriority w:val="9"/>
    <w:unhideWhenUsed/>
    <w:qFormat/>
    <w:rsid w:val="00AC7242"/>
    <w:pPr>
      <w:keepNext/>
      <w:keepLines/>
      <w:spacing w:after="0"/>
      <w:outlineLvl w:val="2"/>
    </w:pPr>
    <w:rPr>
      <w:rFonts w:eastAsiaTheme="majorEastAsia" w:cstheme="majorBidi"/>
      <w:b/>
      <w:bCs/>
      <w:color w:val="2542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72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242"/>
    <w:rPr>
      <w:rFonts w:eastAsiaTheme="majorEastAsia" w:cstheme="majorBidi"/>
      <w:bCs/>
      <w:color w:val="376295"/>
      <w:sz w:val="28"/>
      <w:szCs w:val="28"/>
    </w:rPr>
  </w:style>
  <w:style w:type="character" w:customStyle="1" w:styleId="Heading3Char">
    <w:name w:val="Heading 3 Char"/>
    <w:basedOn w:val="DefaultParagraphFont"/>
    <w:link w:val="Heading3"/>
    <w:uiPriority w:val="9"/>
    <w:rsid w:val="00AC7242"/>
    <w:rPr>
      <w:rFonts w:eastAsiaTheme="majorEastAsia" w:cstheme="majorBidi"/>
      <w:b/>
      <w:bCs/>
      <w:color w:val="254265"/>
    </w:rPr>
  </w:style>
  <w:style w:type="paragraph" w:styleId="Header">
    <w:name w:val="header"/>
    <w:basedOn w:val="Normal"/>
    <w:link w:val="HeaderChar"/>
    <w:uiPriority w:val="99"/>
    <w:unhideWhenUsed/>
    <w:rsid w:val="00AC7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242"/>
  </w:style>
  <w:style w:type="paragraph" w:styleId="Footer">
    <w:name w:val="footer"/>
    <w:basedOn w:val="Normal"/>
    <w:link w:val="FooterChar"/>
    <w:uiPriority w:val="99"/>
    <w:unhideWhenUsed/>
    <w:rsid w:val="00AC7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242"/>
  </w:style>
  <w:style w:type="paragraph" w:customStyle="1" w:styleId="Footer-BodyTextLeft">
    <w:name w:val="Footer - Body Text Left"/>
    <w:rsid w:val="00AC7242"/>
    <w:pPr>
      <w:spacing w:after="0" w:line="288" w:lineRule="auto"/>
    </w:pPr>
    <w:rPr>
      <w:rFonts w:ascii="Helvetica" w:eastAsia="Times New Roman" w:hAnsi="Helvetica" w:cs="Times New Roman"/>
      <w:color w:val="0083A9"/>
      <w:spacing w:val="-4"/>
      <w:kern w:val="22"/>
      <w:sz w:val="16"/>
      <w:szCs w:val="16"/>
    </w:rPr>
  </w:style>
  <w:style w:type="paragraph" w:styleId="BalloonText">
    <w:name w:val="Balloon Text"/>
    <w:basedOn w:val="Normal"/>
    <w:link w:val="BalloonTextChar"/>
    <w:uiPriority w:val="99"/>
    <w:semiHidden/>
    <w:unhideWhenUsed/>
    <w:rsid w:val="00AC7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99</Words>
  <Characters>721</Characters>
  <Application>Microsoft Office Word</Application>
  <DocSecurity>0</DocSecurity>
  <Lines>96</Lines>
  <Paragraphs>30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4: Linking Quality Teaching model with differentiation elem</dc:title>
  <dc:creator>NSW Department of Education and Communities</dc:creator>
  <cp:lastModifiedBy>Benfield, Margaret</cp:lastModifiedBy>
  <cp:revision>8</cp:revision>
  <dcterms:created xsi:type="dcterms:W3CDTF">2015-03-05T22:12:00Z</dcterms:created>
  <dcterms:modified xsi:type="dcterms:W3CDTF">2015-04-14T05:22:00Z</dcterms:modified>
</cp:coreProperties>
</file>