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7" w:rsidRDefault="007052B6" w:rsidP="00B70AE9">
      <w:pPr>
        <w:pStyle w:val="IOSHeading1"/>
        <w:tabs>
          <w:tab w:val="left" w:pos="2552"/>
        </w:tabs>
        <w:spacing w:before="0" w:after="360"/>
      </w:pPr>
      <w:r>
        <w:rPr>
          <w:noProof/>
          <w:lang w:eastAsia="en-AU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76248">
        <w:t>Integration</w:t>
      </w:r>
    </w:p>
    <w:tbl>
      <w:tblPr>
        <w:tblW w:w="158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his table features three columns, content/applications/implications and considerations, teaching strategies, and resources, that can be reliant on each other to provide information for the activity. "/>
      </w:tblPr>
      <w:tblGrid>
        <w:gridCol w:w="8161"/>
        <w:gridCol w:w="5103"/>
        <w:gridCol w:w="2552"/>
      </w:tblGrid>
      <w:tr w:rsidR="00B70AE9" w:rsidRPr="00C865B6" w:rsidTr="00771446">
        <w:trPr>
          <w:tblHeader/>
        </w:trPr>
        <w:tc>
          <w:tcPr>
            <w:tcW w:w="8161" w:type="dxa"/>
            <w:shd w:val="clear" w:color="auto" w:fill="000000" w:themeFill="text1"/>
          </w:tcPr>
          <w:p w:rsidR="00B70AE9" w:rsidRPr="00C865B6" w:rsidRDefault="00B70AE9" w:rsidP="00771446">
            <w:pPr>
              <w:pStyle w:val="IOStableheader"/>
              <w:jc w:val="center"/>
            </w:pPr>
            <w:bookmarkStart w:id="0" w:name="ColumnTitle_1"/>
            <w:r w:rsidRPr="00C865B6">
              <w:t>Content</w:t>
            </w:r>
            <w:r w:rsidR="00771446">
              <w:t>/applications/implications and considerations</w:t>
            </w:r>
          </w:p>
        </w:tc>
        <w:tc>
          <w:tcPr>
            <w:tcW w:w="5103" w:type="dxa"/>
            <w:shd w:val="clear" w:color="auto" w:fill="000000" w:themeFill="text1"/>
          </w:tcPr>
          <w:p w:rsidR="00B70AE9" w:rsidRPr="00C865B6" w:rsidRDefault="00B70AE9" w:rsidP="00771446">
            <w:pPr>
              <w:pStyle w:val="IOStableheader"/>
              <w:jc w:val="center"/>
            </w:pPr>
            <w:r>
              <w:t>Teaching st</w:t>
            </w:r>
            <w:r w:rsidRPr="00C865B6">
              <w:t>rategies</w:t>
            </w:r>
          </w:p>
        </w:tc>
        <w:tc>
          <w:tcPr>
            <w:tcW w:w="2552" w:type="dxa"/>
            <w:shd w:val="clear" w:color="auto" w:fill="000000" w:themeFill="text1"/>
          </w:tcPr>
          <w:p w:rsidR="00B70AE9" w:rsidRPr="00C865B6" w:rsidRDefault="00B70AE9" w:rsidP="00771446">
            <w:pPr>
              <w:pStyle w:val="IOStableheader"/>
              <w:jc w:val="center"/>
            </w:pPr>
            <w:r w:rsidRPr="00C865B6">
              <w:t>Resources</w:t>
            </w:r>
          </w:p>
        </w:tc>
      </w:tr>
      <w:bookmarkEnd w:id="0"/>
      <w:tr w:rsidR="00771446" w:rsidRPr="00C865B6" w:rsidTr="00771446">
        <w:tc>
          <w:tcPr>
            <w:tcW w:w="8161" w:type="dxa"/>
          </w:tcPr>
          <w:p w:rsidR="00771446" w:rsidRPr="00771446" w:rsidRDefault="00771446" w:rsidP="00771446">
            <w:pPr>
              <w:pStyle w:val="IOStabletextbold"/>
            </w:pPr>
            <w:r w:rsidRPr="00771446">
              <w:t>4.1 Integration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>The student is able to: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Use a table of standard integrals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>Some of the results listed in the standard integrals table will need to be established as an appropriate method is developed.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Change an integrand into an appropriate form by use of algebra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Some integrals may be changed into a form which can be integrated through use of some simple algebra, </w:t>
            </w:r>
            <w:proofErr w:type="spellStart"/>
            <w:proofErr w:type="gramStart"/>
            <w:r w:rsidRPr="00771446">
              <w:t>eg</w:t>
            </w:r>
            <w:proofErr w:type="spellEnd"/>
            <w:r w:rsidRPr="00771446">
              <w:t xml:space="preserve"> .</w:t>
            </w:r>
            <w:proofErr w:type="gramEnd"/>
            <w:r w:rsidRPr="00771446"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</m:oMath>
            <w:r w:rsidRPr="00771446"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∫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Evaluate integrals using algebraic substitutions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Only simple substitutions are needed, </w:t>
            </w:r>
            <w:proofErr w:type="spellStart"/>
            <w:r w:rsidRPr="00771446">
              <w:t>e</w:t>
            </w:r>
            <w:proofErr w:type="gramStart"/>
            <w:r w:rsidRPr="00771446">
              <w:t>..g</w:t>
            </w:r>
            <w:proofErr w:type="spellEnd"/>
            <w:r w:rsidRPr="00771446"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1 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771446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= 1 – </m:t>
              </m:r>
              <m:r>
                <w:rPr>
                  <w:rFonts w:ascii="Cambria Math" w:hAnsi="Cambria Math"/>
                </w:rPr>
                <m:t>x</m:t>
              </m:r>
            </m:oMath>
            <w:r w:rsidRPr="00771446">
              <w:t xml:space="preserve"> in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∫</m:t>
              </m:r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oMath>
            <w:r w:rsidRPr="00771446">
              <w:t xml:space="preserve">,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771446">
              <w:t xml:space="preserve">. The effect on limits of integration is required, and 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w:r w:rsidRPr="00771446">
              <w:t>definite integrals are to be treated.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Evaluate simple trigonometric integrals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Include squares of all trigonometric functions, as well as those which can be found 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w:r w:rsidRPr="00771446">
              <w:t xml:space="preserve">by a simple substitution, </w:t>
            </w:r>
            <w:proofErr w:type="spellStart"/>
            <w:r w:rsidRPr="00771446">
              <w:t>eg</w:t>
            </w:r>
            <w:proofErr w:type="spellEnd"/>
            <w:r w:rsidRPr="00771446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dx</m:t>
              </m:r>
            </m:oMath>
            <w:r w:rsidRPr="00771446">
              <w:t xml:space="preserve">,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oMath>
            <w:r w:rsidRPr="00771446">
              <w:t xml:space="preserve">,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dx</m:t>
              </m:r>
            </m:oMath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Evaluate integrals using trigonometric substitutions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Typical substitutions would be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tan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θ</m:t>
              </m:r>
            </m:oMath>
            <w:r w:rsidRPr="00771446">
              <w:t xml:space="preserve"> and </w:t>
            </w:r>
            <m:oMath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</m:t>
              </m:r>
              <m:r>
                <w:rPr>
                  <w:rFonts w:ascii="Cambria Math" w:hAnsi="Cambria Math"/>
                </w:rPr>
                <m:t>tan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71446">
              <w:t xml:space="preserve">  in integrals such as </w:t>
            </w:r>
          </w:p>
          <w:p w:rsidR="00771446" w:rsidRPr="00771446" w:rsidRDefault="00771446" w:rsidP="00771446">
            <w:pPr>
              <w:pStyle w:val="IOStabletext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∫(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) </m:t>
              </m:r>
            </m:oMath>
            <w:r w:rsidRPr="00771446">
              <w:t xml:space="preserve">,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sinθ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  <m:r>
                    <w:rPr>
                      <w:rFonts w:ascii="Cambria Math" w:hAns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</w:rPr>
                <m:t>dθ</m:t>
              </m:r>
            </m:oMath>
          </w:p>
          <w:p w:rsidR="00771446" w:rsidRPr="00771446" w:rsidRDefault="00771446" w:rsidP="00771446">
            <w:pPr>
              <w:pStyle w:val="IOStabletext"/>
            </w:pPr>
            <w:r w:rsidRPr="00771446">
              <w:t>Evaluate integrals using integration by parts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The work on integration by parts should include the integrands 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</m:oMath>
            <w:proofErr w:type="gramStart"/>
            <w:r w:rsidRPr="00771446">
              <w:t xml:space="preserve">,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bx</m:t>
              </m:r>
            </m:oMath>
            <w:r w:rsidRPr="00771446">
              <w:t xml:space="preserve">, </w:t>
            </w:r>
            <m:oMath>
              <m:r>
                <w:rPr>
                  <w:rFonts w:ascii="Cambria Math" w:hAnsi="Cambria Math"/>
                </w:rPr>
                <m:t>ln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oMath>
            <w:r w:rsidRPr="00771446"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oMath>
            <w:r w:rsidRPr="00771446">
              <w:t xml:space="preserve"> (n an integer).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>Derive and use recurrence relations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Integration by parts should be extended to particular types of recurrence relations, 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w:proofErr w:type="spellStart"/>
            <w:proofErr w:type="gramStart"/>
            <w:r w:rsidRPr="00771446">
              <w:t>eg</w:t>
            </w:r>
            <w:proofErr w:type="spellEnd"/>
            <w:r w:rsidRPr="00771446">
              <w:t xml:space="preserve"> </w:t>
            </w:r>
            <w:proofErr w:type="gramEnd"/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oMath>
            <w:r w:rsidRPr="00771446">
              <w:t xml:space="preserve">,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771446">
              <w:t>.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Recurrence relations such </w:t>
            </w:r>
            <w:proofErr w:type="gramStart"/>
            <w:r w:rsidRPr="00771446">
              <w:t xml:space="preserve">as </w:t>
            </w:r>
            <w:proofErr w:type="gramEnd"/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p>
                <m:e/>
              </m:nary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771446">
              <w:t xml:space="preserve">, which </w:t>
            </w:r>
            <w:r w:rsidRPr="00771446">
              <w:rPr>
                <w:rFonts w:ascii="MS Mincho" w:eastAsia="MS Mincho" w:hAnsi="MS Mincho" w:cs="MS Mincho" w:hint="eastAsia"/>
              </w:rPr>
              <w:t> </w:t>
            </w:r>
            <w:r w:rsidRPr="00771446">
              <w:t xml:space="preserve">involve more than one integer parameter, are excluded.) 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>Integrate rational functions by completing the square in a quadratic denominator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 xml:space="preserve">Examples should include cases to be integrated using a sum or difference of two squares, </w:t>
            </w:r>
          </w:p>
          <w:p w:rsidR="00771446" w:rsidRPr="00771446" w:rsidRDefault="00771446" w:rsidP="00771446">
            <w:pPr>
              <w:pStyle w:val="IOStabletext"/>
            </w:pPr>
            <w:proofErr w:type="spellStart"/>
            <w:r w:rsidRPr="00771446">
              <w:t>Eg</w:t>
            </w:r>
            <w:proofErr w:type="spellEnd"/>
            <w:r w:rsidRPr="00771446"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  <w:r w:rsidRPr="00771446"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oMath>
            <w:r w:rsidRPr="00771446">
              <w:t xml:space="preserve"> </w:t>
            </w:r>
            <m:oMath>
              <m:nary>
                <m:naryPr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oMath>
          </w:p>
          <w:p w:rsidR="00771446" w:rsidRPr="00771446" w:rsidRDefault="00771446" w:rsidP="00771446">
            <w:pPr>
              <w:pStyle w:val="IOStabletext"/>
            </w:pPr>
            <w:r w:rsidRPr="00771446">
              <w:t>Integrate rational functions whose denominators have simple linear or quadratic factors.</w:t>
            </w:r>
          </w:p>
          <w:p w:rsidR="00771446" w:rsidRPr="00771446" w:rsidRDefault="00771446" w:rsidP="00771446">
            <w:pPr>
              <w:pStyle w:val="IOStabletext"/>
            </w:pPr>
            <w:r w:rsidRPr="00771446">
              <w:t>Cases where the degree of the numerator is not less than the degree of the denominator are to be considered.</w:t>
            </w:r>
          </w:p>
          <w:p w:rsidR="00771446" w:rsidRPr="00E3406F" w:rsidRDefault="00771446" w:rsidP="00771446">
            <w:pPr>
              <w:pStyle w:val="IOStabletext"/>
            </w:pPr>
            <w:r w:rsidRPr="00771446">
              <w:t>Only rational functions, whose denominators can be broken into a product of distinct linear factors, or of a distinct quadratic factor and a linear factor, or of two distinct quadratic factors, need to be considered.</w:t>
            </w:r>
          </w:p>
        </w:tc>
        <w:tc>
          <w:tcPr>
            <w:tcW w:w="5103" w:type="dxa"/>
          </w:tcPr>
          <w:p w:rsidR="00771446" w:rsidRPr="00771446" w:rsidRDefault="00771446" w:rsidP="00771446">
            <w:pPr>
              <w:pStyle w:val="IOStablelist"/>
            </w:pPr>
            <w:r w:rsidRPr="00771446">
              <w:lastRenderedPageBreak/>
              <w:t>Introduce Integration as a process that is really well done by computers – e.g. Wolfram Alpha – they do this by manipulating expressions and matching to standard results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Show students other tables of standard integrals to demonstrate the usefulness of these results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Algebraic manipulation most often involves splitting the numerator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 xml:space="preserve">Start by reviewing Integration by Substitution as covered in Ext 1 Mathematics – focus on the correct setting out  - must follow correct mathematical processes particularly with regards putting = signs for expression that are NOT equal </w:t>
            </w:r>
            <w:r w:rsidRPr="00771446">
              <w:rPr>
                <w:rFonts w:ascii="Segoe UI Symbol" w:hAnsi="Segoe UI Symbol" w:cs="Segoe UI Symbol"/>
              </w:rPr>
              <w:t>☺</w:t>
            </w:r>
            <w:r w:rsidRPr="00771446">
              <w:t xml:space="preserve"> major difference is in Ext 2 the substitutions are not given – may help to review Ext 1 type questions without giving the substitution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Students should be able to integrate squares of trigonometric functions by inspection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If Polynomials has not yet been covered the algebraic techniques for breaking into partial fractions must be covered / reviewed.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Students must be able to identify expressions where  breaking into partial fractions – include denominator containing: 1: Distinct Linear Factors; 2:Unfactorisable Quadratic Factors; 3: Repeated Linear Factors; 4: Distinct Quadratic factors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Review t formulae from Ext 1 – students need to be fluent with these before attempting substitution – also review double angle formulae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Integration by parts formula should be derived from the product rule</w:t>
            </w:r>
          </w:p>
          <w:p w:rsidR="00771446" w:rsidRPr="00771446" w:rsidRDefault="00771446" w:rsidP="00771446">
            <w:pPr>
              <w:pStyle w:val="IOStablelist"/>
            </w:pPr>
            <w:r w:rsidRPr="00771446">
              <w:t>Include examples with integration by parts needs to occur more than once</w:t>
            </w:r>
          </w:p>
          <w:p w:rsidR="00771446" w:rsidRPr="00E3406F" w:rsidRDefault="00771446" w:rsidP="00771446">
            <w:pPr>
              <w:pStyle w:val="IOStablelist"/>
            </w:pPr>
            <w:r w:rsidRPr="00771446">
              <w:lastRenderedPageBreak/>
              <w:t xml:space="preserve">Quadratic expressions </w:t>
            </w:r>
            <w:r w:rsidRPr="00771446">
              <w:drawing>
                <wp:inline distT="0" distB="0" distL="114300" distR="114300" wp14:anchorId="71F1623C" wp14:editId="545294DA">
                  <wp:extent cx="635000" cy="165100"/>
                  <wp:effectExtent l="0" t="0" r="0" b="6350"/>
                  <wp:docPr id="18" name="image03.png" descr="a. x. squared plus b. x. plus c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6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1446">
              <w:t xml:space="preserve"> can be expressed as a sum or difference of two squares – which then with an appropriate substitution have an inverse trigonometric function as a primitive</w:t>
            </w:r>
            <w:bookmarkStart w:id="1" w:name="_GoBack"/>
            <w:bookmarkEnd w:id="1"/>
          </w:p>
        </w:tc>
        <w:tc>
          <w:tcPr>
            <w:tcW w:w="2552" w:type="dxa"/>
          </w:tcPr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hyperlink r:id="rId10">
              <w:r w:rsidRPr="00771446">
                <w:rPr>
                  <w:u w:val="single"/>
                </w:rPr>
                <w:t>Table of Standard Integrals – HSC</w:t>
              </w:r>
            </w:hyperlink>
            <w:r w:rsidRPr="00771446">
              <w:rPr>
                <w:u w:val="single"/>
              </w:rPr>
              <w:t xml:space="preserve"> </w:t>
            </w:r>
          </w:p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hyperlink r:id="rId11">
              <w:r w:rsidRPr="00771446">
                <w:rPr>
                  <w:u w:val="single"/>
                </w:rPr>
                <w:t>Wolfram Alpha</w:t>
              </w:r>
            </w:hyperlink>
            <w:hyperlink r:id="rId12"/>
          </w:p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r w:rsidRPr="00771446">
              <w:t xml:space="preserve">Using Standard Integrals + Substitution </w:t>
            </w:r>
            <w:r w:rsidRPr="00771446">
              <w:rPr>
                <w:u w:val="single"/>
              </w:rPr>
              <w:t>[</w:t>
            </w:r>
            <w:hyperlink r:id="rId13">
              <w:r w:rsidRPr="00771446">
                <w:rPr>
                  <w:u w:val="single"/>
                </w:rPr>
                <w:t>Keynote</w:t>
              </w:r>
            </w:hyperlink>
            <w:r w:rsidRPr="00771446">
              <w:rPr>
                <w:u w:val="single"/>
              </w:rPr>
              <w:t xml:space="preserve"> | </w:t>
            </w:r>
            <w:hyperlink r:id="rId14">
              <w:proofErr w:type="spellStart"/>
              <w:r w:rsidRPr="00771446">
                <w:rPr>
                  <w:u w:val="single"/>
                </w:rPr>
                <w:t>Powerpoint</w:t>
              </w:r>
              <w:proofErr w:type="spellEnd"/>
            </w:hyperlink>
            <w:r w:rsidRPr="00771446">
              <w:rPr>
                <w:u w:val="single"/>
              </w:rPr>
              <w:t xml:space="preserve"> | </w:t>
            </w:r>
            <w:hyperlink r:id="rId15">
              <w:r w:rsidRPr="00771446">
                <w:rPr>
                  <w:u w:val="single"/>
                </w:rPr>
                <w:t>pdf</w:t>
              </w:r>
            </w:hyperlink>
            <w:r w:rsidRPr="00771446">
              <w:rPr>
                <w:u w:val="single"/>
              </w:rPr>
              <w:t xml:space="preserve"> ]</w:t>
            </w:r>
          </w:p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hyperlink r:id="rId16">
              <w:r w:rsidRPr="00771446">
                <w:rPr>
                  <w:u w:val="single"/>
                </w:rPr>
                <w:t>Ext 2 Integration  - Eddie Woo (</w:t>
              </w:r>
              <w:proofErr w:type="spellStart"/>
              <w:r w:rsidRPr="00771446">
                <w:rPr>
                  <w:u w:val="single"/>
                </w:rPr>
                <w:t>Youtube</w:t>
              </w:r>
              <w:proofErr w:type="spellEnd"/>
              <w:r w:rsidRPr="00771446">
                <w:rPr>
                  <w:u w:val="single"/>
                </w:rPr>
                <w:t xml:space="preserve"> Playlist)</w:t>
              </w:r>
            </w:hyperlink>
            <w:hyperlink r:id="rId17"/>
          </w:p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hyperlink r:id="rId18">
              <w:r w:rsidRPr="00771446">
                <w:rPr>
                  <w:u w:val="single"/>
                </w:rPr>
                <w:t>Khan Academy Integration by Parts</w:t>
              </w:r>
            </w:hyperlink>
            <w:hyperlink r:id="rId19"/>
          </w:p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hyperlink r:id="rId20">
              <w:proofErr w:type="spellStart"/>
              <w:r w:rsidRPr="00771446">
                <w:rPr>
                  <w:u w:val="single"/>
                </w:rPr>
                <w:t>Coroneous</w:t>
              </w:r>
              <w:proofErr w:type="spellEnd"/>
              <w:r w:rsidRPr="00771446">
                <w:rPr>
                  <w:u w:val="single"/>
                </w:rPr>
                <w:t xml:space="preserve"> 100 Integrals</w:t>
              </w:r>
            </w:hyperlink>
            <w:r w:rsidRPr="00771446">
              <w:rPr>
                <w:u w:val="single"/>
              </w:rPr>
              <w:t xml:space="preserve"> </w:t>
            </w:r>
          </w:p>
          <w:p w:rsidR="00771446" w:rsidRPr="00771446" w:rsidRDefault="00771446" w:rsidP="00771446">
            <w:pPr>
              <w:pStyle w:val="IOStabletext"/>
            </w:pPr>
            <w:hyperlink r:id="rId21">
              <w:r w:rsidRPr="00771446">
                <w:rPr>
                  <w:u w:val="single"/>
                </w:rPr>
                <w:t xml:space="preserve">Solutions to </w:t>
              </w:r>
              <w:proofErr w:type="spellStart"/>
              <w:r w:rsidRPr="00771446">
                <w:rPr>
                  <w:u w:val="single"/>
                </w:rPr>
                <w:t>Coroneous</w:t>
              </w:r>
              <w:proofErr w:type="spellEnd"/>
              <w:r w:rsidRPr="00771446">
                <w:rPr>
                  <w:u w:val="single"/>
                </w:rPr>
                <w:t xml:space="preserve"> 100 Integrals</w:t>
              </w:r>
            </w:hyperlink>
            <w:r w:rsidRPr="00771446">
              <w:rPr>
                <w:u w:val="single"/>
              </w:rPr>
              <w:t xml:space="preserve"> </w:t>
            </w:r>
            <w:r w:rsidRPr="00771446">
              <w:t>(YouTube Playlist)</w:t>
            </w:r>
          </w:p>
          <w:bookmarkStart w:id="2" w:name="h.gjdgxs" w:colFirst="0" w:colLast="0"/>
          <w:bookmarkEnd w:id="2"/>
          <w:p w:rsidR="00771446" w:rsidRPr="00771446" w:rsidRDefault="00771446" w:rsidP="00771446">
            <w:pPr>
              <w:pStyle w:val="IOStabletext"/>
              <w:rPr>
                <w:u w:val="single"/>
              </w:rPr>
            </w:pPr>
            <w:r w:rsidRPr="00771446">
              <w:rPr>
                <w:u w:val="single"/>
              </w:rPr>
              <w:fldChar w:fldCharType="begin"/>
            </w:r>
            <w:r w:rsidRPr="00771446">
              <w:rPr>
                <w:u w:val="single"/>
              </w:rPr>
              <w:instrText xml:space="preserve"> HYPERLINK "https://drive.google.com/open?id=0B2rBnOj-8kBAZ3hLcFd4YkRUU2M" \h </w:instrText>
            </w:r>
            <w:r w:rsidRPr="00771446">
              <w:rPr>
                <w:u w:val="single"/>
              </w:rPr>
              <w:fldChar w:fldCharType="separate"/>
            </w:r>
            <w:r w:rsidRPr="00771446">
              <w:rPr>
                <w:u w:val="single"/>
              </w:rPr>
              <w:t>Williams Curriculum Model – Ext 2 Integration</w:t>
            </w:r>
            <w:r w:rsidRPr="00771446">
              <w:rPr>
                <w:u w:val="single"/>
              </w:rPr>
              <w:fldChar w:fldCharType="end"/>
            </w:r>
            <w:hyperlink r:id="rId22"/>
          </w:p>
          <w:p w:rsidR="00771446" w:rsidRPr="00E3406F" w:rsidRDefault="00771446" w:rsidP="00771446">
            <w:pPr>
              <w:pStyle w:val="IOStabletext"/>
              <w:rPr>
                <w:rFonts w:asciiTheme="minorHAnsi" w:hAnsiTheme="minorHAnsi"/>
                <w:sz w:val="22"/>
                <w:szCs w:val="22"/>
              </w:rPr>
            </w:pPr>
            <w:hyperlink r:id="rId23">
              <w:r w:rsidRPr="00771446">
                <w:rPr>
                  <w:u w:val="single"/>
                </w:rPr>
                <w:t>Numerous other YouTube Videos</w:t>
              </w:r>
            </w:hyperlink>
            <w:hyperlink r:id="rId24"/>
          </w:p>
        </w:tc>
      </w:tr>
    </w:tbl>
    <w:p w:rsidR="00FA0D11" w:rsidRPr="00E34440" w:rsidRDefault="00FA0D11" w:rsidP="00B4479B">
      <w:pPr>
        <w:pStyle w:val="IOSbodytext"/>
        <w:spacing w:before="240" w:after="120"/>
      </w:pPr>
    </w:p>
    <w:sectPr w:rsidR="00FA0D11" w:rsidRPr="00E34440" w:rsidSect="00FA0D1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6840" w:h="11900" w:orient="landscape"/>
      <w:pgMar w:top="567" w:right="958" w:bottom="567" w:left="567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F9" w:rsidRDefault="002729F9" w:rsidP="00480FD7">
      <w:r>
        <w:separator/>
      </w:r>
    </w:p>
  </w:endnote>
  <w:endnote w:type="continuationSeparator" w:id="0">
    <w:p w:rsidR="002729F9" w:rsidRDefault="002729F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Default="00272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Pr="004E338C" w:rsidRDefault="002729F9" w:rsidP="004E338C">
    <w:pPr>
      <w:pStyle w:val="IOSfooter"/>
    </w:pPr>
    <w:r>
      <w:t>Mathematics extension 2</w:t>
    </w:r>
    <w:r w:rsidRPr="004E338C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71446">
      <w:rPr>
        <w:noProof/>
      </w:rPr>
      <w:t>2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Default="00272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F9" w:rsidRDefault="002729F9" w:rsidP="00480FD7">
      <w:r>
        <w:separator/>
      </w:r>
    </w:p>
  </w:footnote>
  <w:footnote w:type="continuationSeparator" w:id="0">
    <w:p w:rsidR="002729F9" w:rsidRDefault="002729F9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Default="00272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Default="00272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F9" w:rsidRDefault="0027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6DB"/>
    <w:multiLevelType w:val="multilevel"/>
    <w:tmpl w:val="79ECE3FC"/>
    <w:lvl w:ilvl="0">
      <w:start w:val="1"/>
      <w:numFmt w:val="bullet"/>
      <w:lvlText w:val="▪"/>
      <w:lvlJc w:val="left"/>
      <w:pPr>
        <w:ind w:left="389" w:firstLine="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A17D67"/>
    <w:multiLevelType w:val="multilevel"/>
    <w:tmpl w:val="78D06734"/>
    <w:lvl w:ilvl="0">
      <w:start w:val="1"/>
      <w:numFmt w:val="bullet"/>
      <w:lvlText w:val="●"/>
      <w:lvlJc w:val="left"/>
      <w:pPr>
        <w:ind w:left="11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053"/>
    <w:multiLevelType w:val="multilevel"/>
    <w:tmpl w:val="2520BF44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8754FBB"/>
    <w:multiLevelType w:val="multilevel"/>
    <w:tmpl w:val="1684307C"/>
    <w:lvl w:ilvl="0">
      <w:start w:val="1"/>
      <w:numFmt w:val="bullet"/>
      <w:lvlText w:val="▪"/>
      <w:lvlJc w:val="left"/>
      <w:pPr>
        <w:ind w:left="389" w:firstLine="5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E34FC"/>
    <w:multiLevelType w:val="multilevel"/>
    <w:tmpl w:val="0C09001D"/>
    <w:numStyleLink w:val="IOSList1new"/>
  </w:abstractNum>
  <w:abstractNum w:abstractNumId="28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24"/>
  </w:num>
  <w:num w:numId="5">
    <w:abstractNumId w:val="0"/>
  </w:num>
  <w:num w:numId="6">
    <w:abstractNumId w:val="22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7"/>
  </w:num>
  <w:num w:numId="12">
    <w:abstractNumId w:val="19"/>
  </w:num>
  <w:num w:numId="13">
    <w:abstractNumId w:val="28"/>
  </w:num>
  <w:num w:numId="14">
    <w:abstractNumId w:val="12"/>
  </w:num>
  <w:num w:numId="15">
    <w:abstractNumId w:val="25"/>
  </w:num>
  <w:num w:numId="16">
    <w:abstractNumId w:val="8"/>
  </w:num>
  <w:num w:numId="17">
    <w:abstractNumId w:val="16"/>
  </w:num>
  <w:num w:numId="18">
    <w:abstractNumId w:val="18"/>
  </w:num>
  <w:num w:numId="19">
    <w:abstractNumId w:val="2"/>
  </w:num>
  <w:num w:numId="20">
    <w:abstractNumId w:val="6"/>
  </w:num>
  <w:num w:numId="21">
    <w:abstractNumId w:val="23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9"/>
  </w:num>
  <w:num w:numId="27">
    <w:abstractNumId w:val="15"/>
  </w:num>
  <w:num w:numId="28">
    <w:abstractNumId w:val="2"/>
  </w:num>
  <w:num w:numId="29">
    <w:abstractNumId w:val="25"/>
  </w:num>
  <w:num w:numId="30">
    <w:abstractNumId w:val="19"/>
  </w:num>
  <w:num w:numId="31">
    <w:abstractNumId w:val="19"/>
  </w:num>
  <w:num w:numId="32">
    <w:abstractNumId w:val="15"/>
  </w:num>
  <w:num w:numId="33">
    <w:abstractNumId w:val="10"/>
  </w:num>
  <w:num w:numId="34">
    <w:abstractNumId w:val="2"/>
  </w:num>
  <w:num w:numId="35">
    <w:abstractNumId w:val="25"/>
  </w:num>
  <w:num w:numId="36">
    <w:abstractNumId w:val="19"/>
  </w:num>
  <w:num w:numId="37">
    <w:abstractNumId w:val="19"/>
  </w:num>
  <w:num w:numId="38">
    <w:abstractNumId w:val="15"/>
  </w:num>
  <w:num w:numId="39">
    <w:abstractNumId w:val="10"/>
  </w:num>
  <w:num w:numId="40">
    <w:abstractNumId w:val="29"/>
  </w:num>
  <w:num w:numId="41">
    <w:abstractNumId w:val="17"/>
  </w:num>
  <w:num w:numId="42">
    <w:abstractNumId w:val="27"/>
  </w:num>
  <w:num w:numId="43">
    <w:abstractNumId w:val="1"/>
  </w:num>
  <w:num w:numId="44">
    <w:abstractNumId w:val="5"/>
  </w:num>
  <w:num w:numId="45">
    <w:abstractNumId w:val="9"/>
  </w:num>
  <w:num w:numId="46">
    <w:abstractNumId w:val="26"/>
  </w:num>
  <w:num w:numId="47">
    <w:abstractNumId w:val="14"/>
  </w:num>
  <w:num w:numId="48">
    <w:abstractNumId w:val="13"/>
  </w:num>
  <w:num w:numId="49">
    <w:abstractNumId w:val="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9"/>
    <w:rsid w:val="00010671"/>
    <w:rsid w:val="00010B54"/>
    <w:rsid w:val="00076446"/>
    <w:rsid w:val="000C3B9A"/>
    <w:rsid w:val="000C4732"/>
    <w:rsid w:val="000F58A0"/>
    <w:rsid w:val="000F6821"/>
    <w:rsid w:val="00100563"/>
    <w:rsid w:val="00163324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407B2"/>
    <w:rsid w:val="002729F9"/>
    <w:rsid w:val="00281A35"/>
    <w:rsid w:val="00281F50"/>
    <w:rsid w:val="00286108"/>
    <w:rsid w:val="0029066F"/>
    <w:rsid w:val="00295F9F"/>
    <w:rsid w:val="002A07C0"/>
    <w:rsid w:val="002D379D"/>
    <w:rsid w:val="002D47A6"/>
    <w:rsid w:val="002F2CDA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206D6"/>
    <w:rsid w:val="00532077"/>
    <w:rsid w:val="005402DE"/>
    <w:rsid w:val="00541AE4"/>
    <w:rsid w:val="005764DE"/>
    <w:rsid w:val="00595476"/>
    <w:rsid w:val="005B53AD"/>
    <w:rsid w:val="005C7E88"/>
    <w:rsid w:val="005D1A4E"/>
    <w:rsid w:val="006023A3"/>
    <w:rsid w:val="00652107"/>
    <w:rsid w:val="0065761A"/>
    <w:rsid w:val="00662F4D"/>
    <w:rsid w:val="0066472E"/>
    <w:rsid w:val="006735CE"/>
    <w:rsid w:val="00676248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56D1"/>
    <w:rsid w:val="00756B8D"/>
    <w:rsid w:val="00771446"/>
    <w:rsid w:val="007773AD"/>
    <w:rsid w:val="00786115"/>
    <w:rsid w:val="007A070B"/>
    <w:rsid w:val="007A3B38"/>
    <w:rsid w:val="007C3CDD"/>
    <w:rsid w:val="007D0956"/>
    <w:rsid w:val="0080474D"/>
    <w:rsid w:val="00804F4F"/>
    <w:rsid w:val="00846B99"/>
    <w:rsid w:val="00861F4B"/>
    <w:rsid w:val="00863F90"/>
    <w:rsid w:val="008750C7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04B0"/>
    <w:rsid w:val="009D798B"/>
    <w:rsid w:val="009E5D61"/>
    <w:rsid w:val="00A21F45"/>
    <w:rsid w:val="00A34306"/>
    <w:rsid w:val="00A370B3"/>
    <w:rsid w:val="00A57066"/>
    <w:rsid w:val="00A67905"/>
    <w:rsid w:val="00A96BC9"/>
    <w:rsid w:val="00AA168F"/>
    <w:rsid w:val="00AA5AC4"/>
    <w:rsid w:val="00AB62F9"/>
    <w:rsid w:val="00AC269B"/>
    <w:rsid w:val="00AC44EA"/>
    <w:rsid w:val="00AE67E3"/>
    <w:rsid w:val="00AE79D8"/>
    <w:rsid w:val="00B2374D"/>
    <w:rsid w:val="00B24CBA"/>
    <w:rsid w:val="00B301C2"/>
    <w:rsid w:val="00B40474"/>
    <w:rsid w:val="00B4479B"/>
    <w:rsid w:val="00B70AE9"/>
    <w:rsid w:val="00B7767B"/>
    <w:rsid w:val="00BC097D"/>
    <w:rsid w:val="00BC353F"/>
    <w:rsid w:val="00BE1B6F"/>
    <w:rsid w:val="00BF0A5C"/>
    <w:rsid w:val="00BF6866"/>
    <w:rsid w:val="00BF72DA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63DF9"/>
    <w:rsid w:val="00D67117"/>
    <w:rsid w:val="00D7685E"/>
    <w:rsid w:val="00DD21D5"/>
    <w:rsid w:val="00DD36C0"/>
    <w:rsid w:val="00DD636E"/>
    <w:rsid w:val="00DE67EB"/>
    <w:rsid w:val="00DF3B99"/>
    <w:rsid w:val="00DF6F06"/>
    <w:rsid w:val="00E172AF"/>
    <w:rsid w:val="00E26D32"/>
    <w:rsid w:val="00E42AE6"/>
    <w:rsid w:val="00E45779"/>
    <w:rsid w:val="00E639B8"/>
    <w:rsid w:val="00E67C89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02B9"/>
    <w:rsid w:val="00F827A9"/>
    <w:rsid w:val="00F93A8A"/>
    <w:rsid w:val="00FA0D11"/>
    <w:rsid w:val="00FB50C6"/>
    <w:rsid w:val="00FB7716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71446"/>
    <w:pPr>
      <w:numPr>
        <w:numId w:val="38"/>
      </w:numPr>
      <w:spacing w:before="40" w:after="40" w:line="240" w:lineRule="auto"/>
      <w:ind w:left="283" w:hanging="113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0B2rBnOj-8kBAMjlodEhMbjJ2eTg" TargetMode="External"/><Relationship Id="rId18" Type="http://schemas.openxmlformats.org/officeDocument/2006/relationships/hyperlink" Target="https://youtu.be/jvh-jWDAYd8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R5DXS1EdWhzQ73RgRVdNQAyO6dAWUH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lframalpha.com" TargetMode="External"/><Relationship Id="rId17" Type="http://schemas.openxmlformats.org/officeDocument/2006/relationships/hyperlink" Target="https://www.youtube.com/playlist?list=PL5KkMZvBpo5DzMt9xB-DbyYTgvQEpcWg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5KkMZvBpo5DzMt9xB-DbyYTgvQEpcWg7" TargetMode="External"/><Relationship Id="rId20" Type="http://schemas.openxmlformats.org/officeDocument/2006/relationships/hyperlink" Target="https://drive.google.com/open?id=0B2rBnOj-8kBAdHlpUEZQaHNsSEk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lframalpha.com" TargetMode="External"/><Relationship Id="rId24" Type="http://schemas.openxmlformats.org/officeDocument/2006/relationships/hyperlink" Target="https://www.youtube.com/results?search_query=hsc+ext+2+integra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2rBnOj-8kBAVnFXN2dpbzlvaVk" TargetMode="External"/><Relationship Id="rId23" Type="http://schemas.openxmlformats.org/officeDocument/2006/relationships/hyperlink" Target="https://www.youtube.com/results?search_query=hsc+ext+2+integratio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rive.google.com/open?id=0B2rBnOj-8kBAS2U3LWVoRFliYmM" TargetMode="External"/><Relationship Id="rId19" Type="http://schemas.openxmlformats.org/officeDocument/2006/relationships/hyperlink" Target="https://youtu.be/jvh-jWDAYd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open?id=0B2rBnOj-8kBAVGN4VWYxLWkyQ0E" TargetMode="External"/><Relationship Id="rId22" Type="http://schemas.openxmlformats.org/officeDocument/2006/relationships/hyperlink" Target="https://drive.google.com/open?id=0B2rBnOj-8kBAZ3hLcFd4YkRUU2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athy%20and%20Amy\Template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FFD44-0D30-4B8B-92AD-3F28B113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7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</vt:lpstr>
    </vt:vector>
  </TitlesOfParts>
  <Company>NSW, Department of Education and Training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/>
  <dc:creator>Jensen, Amy</dc:creator>
  <cp:keywords/>
  <dc:description/>
  <cp:lastModifiedBy>Jensen, Amy</cp:lastModifiedBy>
  <cp:revision>3</cp:revision>
  <cp:lastPrinted>2016-07-07T23:41:00Z</cp:lastPrinted>
  <dcterms:created xsi:type="dcterms:W3CDTF">2016-08-01T04:20:00Z</dcterms:created>
  <dcterms:modified xsi:type="dcterms:W3CDTF">2016-08-01T04:26:00Z</dcterms:modified>
</cp:coreProperties>
</file>