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&quot;.&quot;"/>
        <w:tblDescription w:val="Department of Education logo on left side and OLT logo on right side corners"/>
      </w:tblPr>
      <w:tblGrid>
        <w:gridCol w:w="5341"/>
        <w:gridCol w:w="5341"/>
      </w:tblGrid>
      <w:tr w:rsidR="00A861A7" w:rsidTr="00C30EB2">
        <w:trPr>
          <w:trHeight w:val="1000"/>
          <w:tblHeader/>
        </w:trPr>
        <w:tc>
          <w:tcPr>
            <w:tcW w:w="5341" w:type="dxa"/>
            <w:vAlign w:val="center"/>
          </w:tcPr>
          <w:p w:rsidR="00A861A7" w:rsidRPr="00A861A7" w:rsidRDefault="00A861A7" w:rsidP="00C30EB2">
            <w:pPr>
              <w:spacing w:before="0" w:line="240" w:lineRule="auto"/>
              <w:ind w:right="567"/>
            </w:pPr>
            <w:bookmarkStart w:id="0" w:name="_GoBack"/>
            <w:bookmarkEnd w:id="0"/>
            <w:r w:rsidRPr="00A861A7">
              <w:rPr>
                <w:noProof/>
                <w:lang w:eastAsia="en-AU"/>
              </w:rPr>
              <w:drawing>
                <wp:inline distT="0" distB="0" distL="0" distR="0" wp14:anchorId="20E4B957" wp14:editId="01A70651">
                  <wp:extent cx="1590261" cy="499060"/>
                  <wp:effectExtent l="0" t="0" r="0" b="0"/>
                  <wp:docPr id="16" name="Picture 16" descr="Department of Education Public School logo" title="Department of Education Public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80" cy="500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A861A7" w:rsidRPr="00A861A7" w:rsidRDefault="00A861A7" w:rsidP="00E74338">
            <w:pPr>
              <w:spacing w:before="0" w:line="240" w:lineRule="auto"/>
              <w:ind w:left="0" w:right="401"/>
              <w:jc w:val="right"/>
            </w:pPr>
            <w:r w:rsidRPr="00A861A7">
              <w:rPr>
                <w:noProof/>
                <w:lang w:eastAsia="en-AU"/>
              </w:rPr>
              <w:drawing>
                <wp:inline distT="0" distB="0" distL="0" distR="0" wp14:anchorId="7FA9FE61" wp14:editId="3790CED8">
                  <wp:extent cx="755374" cy="662903"/>
                  <wp:effectExtent l="0" t="0" r="6985" b="4445"/>
                  <wp:docPr id="15" name="Picture 15" descr="Online Training logo" title="Online Train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75" cy="659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301" w:rsidRDefault="00A861A7" w:rsidP="007F3AB1">
      <w:pPr>
        <w:pStyle w:val="Heading1"/>
        <w:spacing w:before="100" w:after="100"/>
      </w:pPr>
      <w:r w:rsidRPr="00A861A7">
        <w:t>Blended online learning courses for teachers and schools</w:t>
      </w:r>
    </w:p>
    <w:p w:rsidR="00A861A7" w:rsidRDefault="00A861A7" w:rsidP="007E7426">
      <w:pPr>
        <w:spacing w:after="140"/>
        <w:rPr>
          <w:rFonts w:cs="MyriadPro-Regular"/>
          <w:szCs w:val="24"/>
        </w:rPr>
      </w:pPr>
      <w:r w:rsidRPr="00347647">
        <w:rPr>
          <w:rFonts w:cs="MyriadPro-Regular"/>
          <w:szCs w:val="24"/>
        </w:rPr>
        <w:t>Visit the</w:t>
      </w:r>
      <w:r w:rsidRPr="00347647">
        <w:rPr>
          <w:rFonts w:cs="MyriadPro-Regular"/>
          <w:b/>
          <w:szCs w:val="24"/>
        </w:rPr>
        <w:t xml:space="preserve"> homepage</w:t>
      </w:r>
      <w:r w:rsidRPr="00347647">
        <w:rPr>
          <w:rFonts w:cs="MyriadPro-Regular"/>
          <w:szCs w:val="24"/>
        </w:rPr>
        <w:t xml:space="preserve"> at </w:t>
      </w:r>
      <w:hyperlink r:id="rId11" w:history="1">
        <w:r w:rsidRPr="00347647">
          <w:rPr>
            <w:rStyle w:val="Hyperlink"/>
            <w:rFonts w:cs="MyriadPro-Regular"/>
            <w:szCs w:val="24"/>
          </w:rPr>
          <w:t>www.</w:t>
        </w:r>
      </w:hyperlink>
      <w:r w:rsidRPr="00347647">
        <w:rPr>
          <w:rStyle w:val="Hyperlink"/>
          <w:rFonts w:cs="MyriadPro-Regular"/>
          <w:szCs w:val="24"/>
        </w:rPr>
        <w:t>oltaustralia.net</w:t>
      </w:r>
      <w:r w:rsidRPr="00347647">
        <w:rPr>
          <w:rFonts w:cs="MyriadPro-Regular"/>
          <w:szCs w:val="24"/>
        </w:rPr>
        <w:t xml:space="preserve"> to view introductory information and watch video clips about the courses and their use in Department of Education schools. Courses are accessed by joining a cohort led by a trained tutor in your local area.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&quot;.&quot;"/>
        <w:tblDescription w:val="Courses available through the Department&#10;• Understanding Personalised Learning and Support&#10;• Understanding Autism Spectrum Disorder&#10;• Understanding and Supporting Behaviour&#10;• Understanding Motor Co-ordination Difficulties&#10;• Inclusion for Learners with Speech, Language and Communication Needs&#10;• Understanding Dyslexia and Significant Reading Difficulties &#10;• Understanding Hearing Loss&#10;Each course has four sections&#10;• Understanding or Introduction&#10;• Assessment for learning&#10;• Interventions or Planning and Programming&#10;• Case studies or Classroom Practice"/>
      </w:tblPr>
      <w:tblGrid>
        <w:gridCol w:w="6945"/>
        <w:gridCol w:w="3042"/>
      </w:tblGrid>
      <w:tr w:rsidR="00A861A7" w:rsidTr="00421E7E">
        <w:trPr>
          <w:tblHeader/>
        </w:trPr>
        <w:tc>
          <w:tcPr>
            <w:tcW w:w="6945" w:type="dxa"/>
            <w:vAlign w:val="center"/>
          </w:tcPr>
          <w:p w:rsidR="00A861A7" w:rsidRPr="00D858C6" w:rsidRDefault="00A861A7" w:rsidP="00C30EB2">
            <w:pPr>
              <w:tabs>
                <w:tab w:val="left" w:pos="280"/>
              </w:tabs>
              <w:autoSpaceDE w:val="0"/>
              <w:autoSpaceDN w:val="0"/>
              <w:adjustRightInd w:val="0"/>
              <w:spacing w:before="0" w:after="0" w:line="240" w:lineRule="auto"/>
              <w:ind w:left="-108"/>
              <w:rPr>
                <w:rFonts w:cs="Myriad-Bold"/>
                <w:b/>
                <w:bCs/>
                <w:color w:val="365F91" w:themeColor="accent1" w:themeShade="BF"/>
                <w:szCs w:val="24"/>
              </w:rPr>
            </w:pPr>
            <w:r w:rsidRPr="00D858C6">
              <w:rPr>
                <w:rFonts w:cs="Myriad-Bold"/>
                <w:b/>
                <w:bCs/>
                <w:color w:val="365F91" w:themeColor="accent1" w:themeShade="BF"/>
                <w:szCs w:val="24"/>
              </w:rPr>
              <w:t>Courses available through the Department</w:t>
            </w:r>
          </w:p>
          <w:p w:rsidR="00A861A7" w:rsidRPr="00B81330" w:rsidRDefault="00A861A7" w:rsidP="00C30EB2">
            <w:pPr>
              <w:pStyle w:val="ListParagraph"/>
              <w:numPr>
                <w:ilvl w:val="0"/>
                <w:numId w:val="1"/>
              </w:numPr>
              <w:tabs>
                <w:tab w:val="left" w:pos="28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cs="MyriadPro-Regular"/>
                <w:b/>
                <w:color w:val="B83306"/>
                <w:szCs w:val="24"/>
              </w:rPr>
            </w:pPr>
            <w:r w:rsidRPr="00B81330">
              <w:rPr>
                <w:rFonts w:cs="MyriadPro-Regular"/>
                <w:b/>
                <w:color w:val="B83306"/>
                <w:szCs w:val="24"/>
              </w:rPr>
              <w:t>Understanding Personalised Learning and Support</w:t>
            </w:r>
          </w:p>
          <w:p w:rsidR="00A861A7" w:rsidRPr="00FE56AE" w:rsidRDefault="00A861A7" w:rsidP="00C30EB2">
            <w:pPr>
              <w:pStyle w:val="ListParagraph"/>
              <w:numPr>
                <w:ilvl w:val="0"/>
                <w:numId w:val="1"/>
              </w:numPr>
              <w:tabs>
                <w:tab w:val="left" w:pos="28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cs="MyriadPro-Regular"/>
                <w:b/>
                <w:color w:val="00B050"/>
                <w:szCs w:val="24"/>
              </w:rPr>
            </w:pPr>
            <w:r w:rsidRPr="007A3C9D">
              <w:rPr>
                <w:rFonts w:cs="MyriadPro-Regular"/>
                <w:b/>
                <w:color w:val="00B050"/>
                <w:szCs w:val="24"/>
              </w:rPr>
              <w:t>Understand</w:t>
            </w:r>
            <w:r>
              <w:rPr>
                <w:rFonts w:cs="MyriadPro-Regular"/>
                <w:b/>
                <w:color w:val="00B050"/>
                <w:szCs w:val="24"/>
              </w:rPr>
              <w:t>ing Autism Spectrum Disorder</w:t>
            </w:r>
          </w:p>
          <w:p w:rsidR="00A861A7" w:rsidRPr="007A3C9D" w:rsidRDefault="00A861A7" w:rsidP="00C30EB2">
            <w:pPr>
              <w:pStyle w:val="ListParagraph"/>
              <w:numPr>
                <w:ilvl w:val="0"/>
                <w:numId w:val="1"/>
              </w:numPr>
              <w:tabs>
                <w:tab w:val="left" w:pos="28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cs="MyriadPro-Regular"/>
                <w:b/>
                <w:color w:val="FF0000"/>
                <w:szCs w:val="24"/>
              </w:rPr>
            </w:pPr>
            <w:r w:rsidRPr="007A3C9D">
              <w:rPr>
                <w:rFonts w:cs="MyriadPro-Regular"/>
                <w:b/>
                <w:color w:val="FF0000"/>
                <w:szCs w:val="24"/>
              </w:rPr>
              <w:t xml:space="preserve">Understanding and </w:t>
            </w:r>
            <w:r>
              <w:rPr>
                <w:rFonts w:cs="MyriadPro-Regular"/>
                <w:b/>
                <w:color w:val="FF0000"/>
                <w:szCs w:val="24"/>
              </w:rPr>
              <w:t>Supporting</w:t>
            </w:r>
            <w:r w:rsidRPr="007A3C9D">
              <w:rPr>
                <w:rFonts w:cs="MyriadPro-Regular"/>
                <w:b/>
                <w:color w:val="FF0000"/>
                <w:szCs w:val="24"/>
              </w:rPr>
              <w:t xml:space="preserve"> Behaviour</w:t>
            </w:r>
          </w:p>
          <w:p w:rsidR="00A861A7" w:rsidRDefault="00A861A7" w:rsidP="00C30EB2">
            <w:pPr>
              <w:pStyle w:val="ListParagraph"/>
              <w:numPr>
                <w:ilvl w:val="0"/>
                <w:numId w:val="1"/>
              </w:numPr>
              <w:tabs>
                <w:tab w:val="left" w:pos="28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cs="MyriadPro-Regular"/>
                <w:b/>
                <w:color w:val="0070C0"/>
                <w:szCs w:val="24"/>
              </w:rPr>
            </w:pPr>
            <w:r>
              <w:rPr>
                <w:rFonts w:cs="MyriadPro-Regular"/>
                <w:b/>
                <w:color w:val="0070C0"/>
                <w:szCs w:val="24"/>
              </w:rPr>
              <w:t xml:space="preserve">Understanding </w:t>
            </w:r>
            <w:r w:rsidRPr="007A3C9D">
              <w:rPr>
                <w:rFonts w:cs="MyriadPro-Regular"/>
                <w:b/>
                <w:color w:val="0070C0"/>
                <w:szCs w:val="24"/>
              </w:rPr>
              <w:t>Motor Co-ordination</w:t>
            </w:r>
            <w:r>
              <w:rPr>
                <w:rFonts w:cs="MyriadPro-Regular"/>
                <w:b/>
                <w:color w:val="0070C0"/>
                <w:szCs w:val="24"/>
              </w:rPr>
              <w:t xml:space="preserve"> Difficulties</w:t>
            </w:r>
          </w:p>
          <w:p w:rsidR="00A861A7" w:rsidRPr="00FE56AE" w:rsidRDefault="00A861A7" w:rsidP="009F192F">
            <w:pPr>
              <w:pStyle w:val="ListParagraph"/>
              <w:numPr>
                <w:ilvl w:val="0"/>
                <w:numId w:val="1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278" w:hanging="386"/>
              <w:rPr>
                <w:rFonts w:cs="MyriadPro-Regular"/>
                <w:b/>
                <w:color w:val="FFC000"/>
                <w:szCs w:val="24"/>
              </w:rPr>
            </w:pPr>
            <w:r w:rsidRPr="00FE56AE">
              <w:rPr>
                <w:rFonts w:cs="MyriadPro-Regular"/>
                <w:b/>
                <w:color w:val="FFC000"/>
                <w:szCs w:val="24"/>
              </w:rPr>
              <w:t xml:space="preserve">Inclusion for </w:t>
            </w:r>
            <w:r>
              <w:rPr>
                <w:rFonts w:cs="MyriadPro-Regular"/>
                <w:b/>
                <w:color w:val="FFC000"/>
                <w:szCs w:val="24"/>
              </w:rPr>
              <w:t>L</w:t>
            </w:r>
            <w:r w:rsidRPr="00FE56AE">
              <w:rPr>
                <w:rFonts w:cs="MyriadPro-Regular"/>
                <w:b/>
                <w:color w:val="FFC000"/>
                <w:szCs w:val="24"/>
              </w:rPr>
              <w:t>ea</w:t>
            </w:r>
            <w:r w:rsidR="009F192F">
              <w:rPr>
                <w:rFonts w:cs="MyriadPro-Regular"/>
                <w:b/>
                <w:color w:val="FFC000"/>
                <w:szCs w:val="24"/>
              </w:rPr>
              <w:t>rners with Speech, Language and</w:t>
            </w:r>
            <w:r w:rsidR="009F192F">
              <w:rPr>
                <w:rFonts w:cs="MyriadPro-Regular"/>
                <w:b/>
                <w:color w:val="FFC000"/>
                <w:szCs w:val="24"/>
              </w:rPr>
              <w:br/>
            </w:r>
            <w:r w:rsidRPr="00FE56AE">
              <w:rPr>
                <w:rFonts w:cs="MyriadPro-Regular"/>
                <w:b/>
                <w:color w:val="FFC000"/>
                <w:szCs w:val="24"/>
              </w:rPr>
              <w:t>Communication Needs</w:t>
            </w:r>
          </w:p>
          <w:p w:rsidR="00A861A7" w:rsidRPr="00FE56AE" w:rsidRDefault="00A861A7" w:rsidP="00C30EB2">
            <w:pPr>
              <w:pStyle w:val="ListParagraph"/>
              <w:numPr>
                <w:ilvl w:val="0"/>
                <w:numId w:val="1"/>
              </w:numPr>
              <w:tabs>
                <w:tab w:val="left" w:pos="28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cs="MyriadPro-Regular"/>
                <w:b/>
                <w:color w:val="5F497A" w:themeColor="accent4" w:themeShade="BF"/>
                <w:szCs w:val="24"/>
              </w:rPr>
            </w:pPr>
            <w:r w:rsidRPr="00F05430">
              <w:rPr>
                <w:rFonts w:cs="MyriadPro-Regular"/>
                <w:b/>
                <w:color w:val="5F497A" w:themeColor="accent4" w:themeShade="BF"/>
                <w:szCs w:val="24"/>
              </w:rPr>
              <w:t xml:space="preserve">Understanding Dyslexia and Significant Reading </w:t>
            </w:r>
            <w:r w:rsidR="00421E7E">
              <w:rPr>
                <w:rFonts w:cs="MyriadPro-Regular"/>
                <w:b/>
                <w:color w:val="5F497A" w:themeColor="accent4" w:themeShade="BF"/>
                <w:szCs w:val="24"/>
              </w:rPr>
              <w:t>Difficulties</w:t>
            </w:r>
          </w:p>
          <w:p w:rsidR="00A861A7" w:rsidRDefault="00A861A7" w:rsidP="00C30EB2">
            <w:pPr>
              <w:pStyle w:val="ListParagraph"/>
              <w:numPr>
                <w:ilvl w:val="0"/>
                <w:numId w:val="1"/>
              </w:numPr>
              <w:tabs>
                <w:tab w:val="left" w:pos="280"/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-108" w:firstLine="0"/>
              <w:rPr>
                <w:rFonts w:cs="MyriadPro-Regular"/>
                <w:b/>
                <w:color w:val="FF66FF"/>
                <w:szCs w:val="24"/>
              </w:rPr>
            </w:pPr>
            <w:r w:rsidRPr="008F59AE">
              <w:rPr>
                <w:rFonts w:cs="MyriadPro-Regular"/>
                <w:b/>
                <w:color w:val="FF66FF"/>
                <w:szCs w:val="24"/>
              </w:rPr>
              <w:t>Understanding Hearing Loss</w:t>
            </w:r>
          </w:p>
          <w:p w:rsidR="00A861A7" w:rsidRPr="00E33198" w:rsidRDefault="00A861A7" w:rsidP="00C30EB2">
            <w:pPr>
              <w:tabs>
                <w:tab w:val="left" w:pos="280"/>
                <w:tab w:val="left" w:pos="459"/>
              </w:tabs>
              <w:autoSpaceDE w:val="0"/>
              <w:autoSpaceDN w:val="0"/>
              <w:adjustRightInd w:val="0"/>
              <w:spacing w:before="0" w:after="0" w:line="320" w:lineRule="exact"/>
              <w:ind w:left="-108" w:right="0"/>
              <w:rPr>
                <w:rFonts w:cs="Myriad-Bold"/>
                <w:b/>
                <w:bCs/>
                <w:color w:val="365F91" w:themeColor="accent1" w:themeShade="BF"/>
                <w:szCs w:val="24"/>
              </w:rPr>
            </w:pPr>
            <w:r w:rsidRPr="00E33198">
              <w:rPr>
                <w:rFonts w:cs="Myriad-Bold"/>
                <w:b/>
                <w:bCs/>
                <w:color w:val="365F91" w:themeColor="accent1" w:themeShade="BF"/>
                <w:szCs w:val="24"/>
              </w:rPr>
              <w:t>Each course has four sections</w:t>
            </w:r>
          </w:p>
          <w:p w:rsidR="00A861A7" w:rsidRPr="00C30EB2" w:rsidRDefault="00A861A7" w:rsidP="00C30EB2">
            <w:pPr>
              <w:pStyle w:val="ListParagraph"/>
              <w:tabs>
                <w:tab w:val="left" w:pos="280"/>
              </w:tabs>
              <w:ind w:left="-108" w:firstLine="0"/>
            </w:pPr>
            <w:r w:rsidRPr="00C30EB2">
              <w:t>Understanding or Introduction</w:t>
            </w:r>
          </w:p>
          <w:p w:rsidR="00A861A7" w:rsidRPr="00C30EB2" w:rsidRDefault="00A861A7" w:rsidP="00C30EB2">
            <w:pPr>
              <w:pStyle w:val="ListParagraph"/>
              <w:tabs>
                <w:tab w:val="left" w:pos="280"/>
              </w:tabs>
              <w:ind w:left="-108" w:firstLine="0"/>
            </w:pPr>
            <w:r w:rsidRPr="00C30EB2">
              <w:t>Assessment for learning</w:t>
            </w:r>
          </w:p>
          <w:p w:rsidR="00A861A7" w:rsidRPr="00C30EB2" w:rsidRDefault="00A861A7" w:rsidP="00C30EB2">
            <w:pPr>
              <w:pStyle w:val="ListParagraph"/>
              <w:tabs>
                <w:tab w:val="left" w:pos="280"/>
              </w:tabs>
              <w:ind w:left="-108" w:firstLine="0"/>
            </w:pPr>
            <w:r w:rsidRPr="00C30EB2">
              <w:t>Interventions or Planning and Programming</w:t>
            </w:r>
          </w:p>
          <w:p w:rsidR="00A861A7" w:rsidRPr="00A861A7" w:rsidRDefault="00A861A7" w:rsidP="00C30EB2">
            <w:pPr>
              <w:pStyle w:val="ListParagraph"/>
              <w:tabs>
                <w:tab w:val="left" w:pos="280"/>
              </w:tabs>
              <w:ind w:left="-108" w:firstLine="0"/>
            </w:pPr>
            <w:r w:rsidRPr="00C30EB2">
              <w:t>Case studies or Classroom Practice</w:t>
            </w:r>
          </w:p>
        </w:tc>
        <w:tc>
          <w:tcPr>
            <w:tcW w:w="3042" w:type="dxa"/>
            <w:vAlign w:val="center"/>
          </w:tcPr>
          <w:p w:rsidR="00A861A7" w:rsidRDefault="00A861A7" w:rsidP="00421E7E">
            <w:pPr>
              <w:spacing w:before="0" w:line="240" w:lineRule="auto"/>
              <w:ind w:left="0" w:right="0"/>
            </w:pPr>
            <w:r>
              <w:rPr>
                <w:noProof/>
                <w:lang w:eastAsia="en-AU"/>
              </w:rPr>
              <w:drawing>
                <wp:inline distT="0" distB="0" distL="0" distR="0" wp14:anchorId="4D89A97E" wp14:editId="35382063">
                  <wp:extent cx="1517073" cy="2269375"/>
                  <wp:effectExtent l="0" t="0" r="6985" b="0"/>
                  <wp:docPr id="1" name="Picture 1" descr="Image of participant at computer" title="&quot;.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 with compute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73" cy="226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8DB" w:rsidRPr="006F78DB" w:rsidRDefault="006F78DB" w:rsidP="007E7426">
      <w:pPr>
        <w:pStyle w:val="Heading2"/>
        <w:spacing w:before="100"/>
      </w:pPr>
      <w:r w:rsidRPr="006F78DB">
        <w:t>Multimedia content</w:t>
      </w:r>
    </w:p>
    <w:p w:rsidR="006F78DB" w:rsidRPr="002C3F66" w:rsidRDefault="006F78DB" w:rsidP="00C30EB2">
      <w:pPr>
        <w:tabs>
          <w:tab w:val="left" w:pos="10065"/>
        </w:tabs>
      </w:pPr>
      <w:r>
        <w:t>A w</w:t>
      </w:r>
      <w:r w:rsidRPr="002C3F66">
        <w:t xml:space="preserve">eb-based format </w:t>
      </w:r>
      <w:r>
        <w:t xml:space="preserve">with </w:t>
      </w:r>
      <w:r w:rsidRPr="002C3F66">
        <w:t xml:space="preserve">content </w:t>
      </w:r>
      <w:r>
        <w:t>presented in dynamic ways that</w:t>
      </w:r>
      <w:r w:rsidRPr="002C3F66">
        <w:t xml:space="preserve"> </w:t>
      </w:r>
      <w:r>
        <w:t xml:space="preserve">accommodate adult learning, including </w:t>
      </w:r>
      <w:r w:rsidRPr="002C3F66">
        <w:t xml:space="preserve">interactive elements </w:t>
      </w:r>
      <w:r>
        <w:t>to</w:t>
      </w:r>
      <w:r w:rsidRPr="002C3F66">
        <w:t xml:space="preserve"> support and</w:t>
      </w:r>
      <w:r>
        <w:t xml:space="preserve"> encourage the learning process.</w:t>
      </w:r>
    </w:p>
    <w:p w:rsidR="006F78DB" w:rsidRPr="006F78DB" w:rsidRDefault="006F78DB" w:rsidP="007F3AB1">
      <w:pPr>
        <w:ind w:left="397" w:right="397"/>
        <w:rPr>
          <w:b/>
        </w:rPr>
      </w:pPr>
      <w:r w:rsidRPr="006F78DB">
        <w:rPr>
          <w:b/>
        </w:rPr>
        <w:t xml:space="preserve">* Animations *Self assessment exercises * Online quizzes * Video clips * Online forums </w:t>
      </w:r>
    </w:p>
    <w:p w:rsidR="006F78DB" w:rsidRPr="006F78DB" w:rsidRDefault="006F78DB" w:rsidP="00156A7E">
      <w:pPr>
        <w:rPr>
          <w:b/>
        </w:rPr>
      </w:pPr>
      <w:r w:rsidRPr="006F78DB">
        <w:rPr>
          <w:b/>
        </w:rPr>
        <w:t>* Printable practical resources * Links to related websites</w:t>
      </w:r>
      <w:r w:rsidR="007F3AB1">
        <w:rPr>
          <w:b/>
        </w:rPr>
        <w:t xml:space="preserve"> *Further readings/</w:t>
      </w:r>
      <w:r w:rsidRPr="006F78DB">
        <w:rPr>
          <w:b/>
        </w:rPr>
        <w:t>research</w:t>
      </w:r>
    </w:p>
    <w:p w:rsidR="006F78DB" w:rsidRPr="006F78DB" w:rsidRDefault="006F78DB" w:rsidP="00156A7E">
      <w:pPr>
        <w:rPr>
          <w:rFonts w:cs="Myriad-Italic"/>
          <w:i/>
          <w:iCs/>
        </w:rPr>
      </w:pPr>
      <w:r>
        <w:rPr>
          <w:rFonts w:cs="Myriad-Italic"/>
          <w:iCs/>
        </w:rPr>
        <w:t>The</w:t>
      </w:r>
      <w:r w:rsidRPr="009B7C23">
        <w:rPr>
          <w:rFonts w:cs="Myriad-Italic"/>
          <w:iCs/>
        </w:rPr>
        <w:t xml:space="preserve"> courses include </w:t>
      </w:r>
      <w:r>
        <w:rPr>
          <w:rFonts w:cs="Myriad-Italic"/>
          <w:iCs/>
        </w:rPr>
        <w:t>Australian case studies and other video content featuring students, families and education personnel in a range of school settings</w:t>
      </w:r>
      <w:r w:rsidRPr="002C3F66">
        <w:rPr>
          <w:rFonts w:cs="Myriad-Italic"/>
          <w:i/>
          <w:iCs/>
        </w:rPr>
        <w:t>.</w:t>
      </w:r>
    </w:p>
    <w:p w:rsidR="006F78DB" w:rsidRPr="00E33198" w:rsidRDefault="006F78DB" w:rsidP="006F78DB">
      <w:pPr>
        <w:pStyle w:val="Heading2"/>
      </w:pPr>
      <w:r w:rsidRPr="00E33198">
        <w:t>Course delivery</w:t>
      </w:r>
    </w:p>
    <w:p w:rsidR="006F78DB" w:rsidRPr="006F78DB" w:rsidRDefault="006F78DB" w:rsidP="00156A7E">
      <w:r w:rsidRPr="006D207C">
        <w:t xml:space="preserve">Blended Online Learning provides a flexible </w:t>
      </w:r>
      <w:r>
        <w:t xml:space="preserve">approach to course delivery. Participants study the course online at their own pace and attend 3 or more tutor led sessions, depending on the course, supported by a </w:t>
      </w:r>
      <w:r w:rsidRPr="006D207C">
        <w:t>trained tutor</w:t>
      </w:r>
      <w:r>
        <w:t>.</w:t>
      </w:r>
      <w:r w:rsidRPr="006D207C">
        <w:t xml:space="preserve"> </w:t>
      </w:r>
      <w:r>
        <w:t>P</w:t>
      </w:r>
      <w:r w:rsidRPr="006D207C">
        <w:t xml:space="preserve">rofessional knowledge and experience </w:t>
      </w:r>
      <w:r>
        <w:t>is</w:t>
      </w:r>
      <w:r w:rsidRPr="006D207C">
        <w:t xml:space="preserve"> shared</w:t>
      </w:r>
      <w:r>
        <w:t xml:space="preserve"> between participants and their tutor</w:t>
      </w:r>
      <w:r w:rsidRPr="006D207C">
        <w:t xml:space="preserve">. </w:t>
      </w:r>
    </w:p>
    <w:p w:rsidR="006F78DB" w:rsidRPr="00E33198" w:rsidRDefault="006F78DB" w:rsidP="006F78DB">
      <w:pPr>
        <w:pStyle w:val="Heading2"/>
      </w:pPr>
      <w:r w:rsidRPr="00E33198">
        <w:t>To find available courses</w:t>
      </w:r>
    </w:p>
    <w:p w:rsidR="006F78DB" w:rsidRDefault="006F78DB" w:rsidP="00156A7E">
      <w:r w:rsidRPr="006D207C">
        <w:t>School based cohorts can be negotiated or participants can join open cohorts</w:t>
      </w:r>
      <w:r w:rsidR="007F3AB1">
        <w:t>.</w:t>
      </w:r>
    </w:p>
    <w:p w:rsidR="006F78DB" w:rsidRPr="006F78DB" w:rsidRDefault="006F78DB" w:rsidP="00156A7E">
      <w:r>
        <w:t>Courses can be found by searching MyPL@Edu using the phrase ‘Online Training Australia’, by browsing recent Schoolbiz editions or by contacting local educational services teams.</w:t>
      </w:r>
    </w:p>
    <w:p w:rsidR="006F78DB" w:rsidRPr="00E33198" w:rsidRDefault="006F78DB" w:rsidP="006F78DB">
      <w:pPr>
        <w:pStyle w:val="Heading2"/>
      </w:pPr>
      <w:r w:rsidRPr="00E33198">
        <w:t>Accreditation</w:t>
      </w:r>
    </w:p>
    <w:p w:rsidR="006F78DB" w:rsidRPr="006F78DB" w:rsidRDefault="006F78DB" w:rsidP="00156A7E">
      <w:r w:rsidRPr="002C3F66">
        <w:t>The courses carry a C</w:t>
      </w:r>
      <w:r>
        <w:t>ertificate of Online Completion</w:t>
      </w:r>
      <w:r w:rsidRPr="002C3F66">
        <w:t xml:space="preserve"> and</w:t>
      </w:r>
      <w:r>
        <w:t xml:space="preserve"> are registered</w:t>
      </w:r>
      <w:r w:rsidRPr="002C3F66">
        <w:t xml:space="preserve"> with the </w:t>
      </w:r>
      <w:r>
        <w:t>Board of Studies, Teaching and Educational Standards (BOSTES) against the Australian Professional Standards for Teachers.</w:t>
      </w:r>
    </w:p>
    <w:p w:rsidR="00A861A7" w:rsidRPr="00A861A7" w:rsidRDefault="006F78DB" w:rsidP="00156A7E">
      <w:r>
        <w:t xml:space="preserve">For information about online learning courses go to </w:t>
      </w:r>
      <w:hyperlink r:id="rId13" w:history="1">
        <w:r w:rsidRPr="00472F28">
          <w:rPr>
            <w:rStyle w:val="Hyperlink"/>
            <w:szCs w:val="24"/>
          </w:rPr>
          <w:t>www.oltaustralia.net</w:t>
        </w:r>
      </w:hyperlink>
      <w:r w:rsidR="007F3AB1" w:rsidRPr="007F3AB1">
        <w:t>/</w:t>
      </w:r>
      <w:hyperlink r:id="rId14" w:history="1">
        <w:r w:rsidRPr="00347647">
          <w:rPr>
            <w:rStyle w:val="Hyperlink"/>
            <w:szCs w:val="24"/>
          </w:rPr>
          <w:t>OLT home page</w:t>
        </w:r>
      </w:hyperlink>
      <w:r w:rsidR="007F3AB1">
        <w:br/>
      </w:r>
      <w:r>
        <w:t xml:space="preserve">or email </w:t>
      </w:r>
      <w:hyperlink r:id="rId15" w:history="1">
        <w:r w:rsidRPr="00914030">
          <w:rPr>
            <w:rStyle w:val="Hyperlink"/>
          </w:rPr>
          <w:t>Disabilitylearning@det.nsw.edu.au</w:t>
        </w:r>
      </w:hyperlink>
    </w:p>
    <w:sectPr w:rsidR="00A861A7" w:rsidRPr="00A861A7" w:rsidSect="00A861A7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7E" w:rsidRDefault="00156A7E" w:rsidP="00156A7E">
      <w:pPr>
        <w:spacing w:before="0" w:after="0" w:line="240" w:lineRule="auto"/>
      </w:pPr>
      <w:r>
        <w:separator/>
      </w:r>
    </w:p>
  </w:endnote>
  <w:endnote w:type="continuationSeparator" w:id="0">
    <w:p w:rsidR="00156A7E" w:rsidRDefault="00156A7E" w:rsidP="00156A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7E" w:rsidRDefault="00156A7E" w:rsidP="00156A7E">
    <w:pPr>
      <w:ind w:left="567"/>
      <w:jc w:val="center"/>
    </w:pPr>
    <w:r>
      <w:t>Updated 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7E" w:rsidRDefault="00156A7E" w:rsidP="00156A7E">
      <w:pPr>
        <w:spacing w:before="0" w:after="0" w:line="240" w:lineRule="auto"/>
      </w:pPr>
      <w:r>
        <w:separator/>
      </w:r>
    </w:p>
  </w:footnote>
  <w:footnote w:type="continuationSeparator" w:id="0">
    <w:p w:rsidR="00156A7E" w:rsidRDefault="00156A7E" w:rsidP="00156A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122"/>
    <w:multiLevelType w:val="hybridMultilevel"/>
    <w:tmpl w:val="8E6E7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06BE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586"/>
    <w:multiLevelType w:val="hybridMultilevel"/>
    <w:tmpl w:val="AF748C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16FF0"/>
    <w:multiLevelType w:val="hybridMultilevel"/>
    <w:tmpl w:val="4BB02EAC"/>
    <w:lvl w:ilvl="0" w:tplc="A9385A9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162645"/>
    <w:multiLevelType w:val="hybridMultilevel"/>
    <w:tmpl w:val="9BC683E0"/>
    <w:lvl w:ilvl="0" w:tplc="0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3E254D33"/>
    <w:multiLevelType w:val="hybridMultilevel"/>
    <w:tmpl w:val="C004E26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F092FC4"/>
    <w:multiLevelType w:val="hybridMultilevel"/>
    <w:tmpl w:val="7E2E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25858"/>
    <w:multiLevelType w:val="hybridMultilevel"/>
    <w:tmpl w:val="CCFEB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vf2qaxalUo+eynoRKuhc+YArtgw=" w:salt="34Jn6B8AkmmVY1cDHhHX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7"/>
    <w:rsid w:val="00137401"/>
    <w:rsid w:val="00156A7E"/>
    <w:rsid w:val="00181B8F"/>
    <w:rsid w:val="001E6285"/>
    <w:rsid w:val="0020089C"/>
    <w:rsid w:val="002C6614"/>
    <w:rsid w:val="00384A52"/>
    <w:rsid w:val="00412E83"/>
    <w:rsid w:val="00421E7E"/>
    <w:rsid w:val="00570636"/>
    <w:rsid w:val="005963CE"/>
    <w:rsid w:val="006F78DB"/>
    <w:rsid w:val="007444AF"/>
    <w:rsid w:val="007E7081"/>
    <w:rsid w:val="007E7426"/>
    <w:rsid w:val="007F3AB1"/>
    <w:rsid w:val="009F192F"/>
    <w:rsid w:val="00A861A7"/>
    <w:rsid w:val="00AC7B3B"/>
    <w:rsid w:val="00C30EB2"/>
    <w:rsid w:val="00C84E42"/>
    <w:rsid w:val="00E17301"/>
    <w:rsid w:val="00E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B1"/>
    <w:pPr>
      <w:spacing w:before="40" w:after="100" w:line="290" w:lineRule="exact"/>
      <w:ind w:left="454" w:right="454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1A7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A7E"/>
    <w:pPr>
      <w:keepNext/>
      <w:keepLines/>
      <w:spacing w:before="140" w:after="0"/>
      <w:outlineLvl w:val="1"/>
    </w:pPr>
    <w:rPr>
      <w:rFonts w:ascii="Calibri" w:eastAsiaTheme="majorEastAsia" w:hAnsi="Calibri" w:cstheme="majorBidi"/>
      <w:b/>
      <w:bCs/>
      <w:color w:val="244061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61A7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61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EB2"/>
    <w:pPr>
      <w:numPr>
        <w:numId w:val="7"/>
      </w:numPr>
      <w:spacing w:before="0" w:line="276" w:lineRule="auto"/>
      <w:ind w:left="357" w:right="0" w:hanging="357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56A7E"/>
    <w:rPr>
      <w:rFonts w:ascii="Calibri" w:eastAsiaTheme="majorEastAsia" w:hAnsi="Calibri" w:cstheme="majorBidi"/>
      <w:b/>
      <w:bCs/>
      <w:color w:val="244061" w:themeColor="accent1" w:themeShade="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B1"/>
    <w:pPr>
      <w:spacing w:before="40" w:after="100" w:line="290" w:lineRule="exact"/>
      <w:ind w:left="454" w:right="454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1A7"/>
    <w:pPr>
      <w:keepNext/>
      <w:keepLines/>
      <w:spacing w:before="480" w:after="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A7E"/>
    <w:pPr>
      <w:keepNext/>
      <w:keepLines/>
      <w:spacing w:before="140" w:after="0"/>
      <w:outlineLvl w:val="1"/>
    </w:pPr>
    <w:rPr>
      <w:rFonts w:ascii="Calibri" w:eastAsiaTheme="majorEastAsia" w:hAnsi="Calibri" w:cstheme="majorBidi"/>
      <w:b/>
      <w:bCs/>
      <w:color w:val="244061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61A7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61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EB2"/>
    <w:pPr>
      <w:numPr>
        <w:numId w:val="7"/>
      </w:numPr>
      <w:spacing w:before="0" w:line="276" w:lineRule="auto"/>
      <w:ind w:left="357" w:right="0" w:hanging="357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56A7E"/>
    <w:rPr>
      <w:rFonts w:ascii="Calibri" w:eastAsiaTheme="majorEastAsia" w:hAnsi="Calibri" w:cstheme="majorBidi"/>
      <w:b/>
      <w:bCs/>
      <w:color w:val="244061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ltaustralia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clusiononline-aus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sabilitylearning@det.nsw.edu.a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ltaustrali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3402-7653-421A-A982-4E10209F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12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Garment-Debs, Joanne</dc:creator>
  <cp:lastModifiedBy>Jankovic Greco, Mirijana</cp:lastModifiedBy>
  <cp:revision>2</cp:revision>
  <cp:lastPrinted>2016-11-25T03:50:00Z</cp:lastPrinted>
  <dcterms:created xsi:type="dcterms:W3CDTF">2016-11-28T22:46:00Z</dcterms:created>
  <dcterms:modified xsi:type="dcterms:W3CDTF">2016-11-28T22:46:00Z</dcterms:modified>
</cp:coreProperties>
</file>